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02FC" w14:textId="4059FE35" w:rsidR="007733FB" w:rsidRPr="00FE73E4" w:rsidRDefault="001F1E24" w:rsidP="00304963">
      <w:pPr>
        <w:ind w:left="3600" w:firstLine="720"/>
        <w:rPr>
          <w:rFonts w:ascii="Garamond" w:hAnsi="Garamond"/>
          <w:sz w:val="24"/>
          <w:lang w:val="en-US"/>
        </w:rPr>
      </w:pPr>
      <w:bookmarkStart w:id="0" w:name="_Hlk94095171"/>
      <w:bookmarkEnd w:id="0"/>
      <w:r w:rsidRPr="00FE73E4">
        <w:rPr>
          <w:rFonts w:ascii="Garamond" w:hAnsi="Garamond"/>
          <w:noProof/>
          <w:sz w:val="24"/>
          <w:lang w:val="en-US"/>
        </w:rPr>
        <w:drawing>
          <wp:anchor distT="0" distB="0" distL="114300" distR="114300" simplePos="0" relativeHeight="251681792" behindDoc="0" locked="0" layoutInCell="1" allowOverlap="1" wp14:anchorId="1A3A3E78" wp14:editId="729E5CC6">
            <wp:simplePos x="5036234" y="457200"/>
            <wp:positionH relativeFrom="column">
              <wp:align>right</wp:align>
            </wp:positionH>
            <wp:positionV relativeFrom="paragraph">
              <wp:align>top</wp:align>
            </wp:positionV>
            <wp:extent cx="1981200" cy="723900"/>
            <wp:effectExtent l="0" t="0" r="0" b="0"/>
            <wp:wrapSquare wrapText="bothSides"/>
            <wp:docPr id="2" name="Picture 2"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723900"/>
                    </a:xfrm>
                    <a:prstGeom prst="rect">
                      <a:avLst/>
                    </a:prstGeom>
                    <a:noFill/>
                    <a:ln>
                      <a:noFill/>
                    </a:ln>
                  </pic:spPr>
                </pic:pic>
              </a:graphicData>
            </a:graphic>
          </wp:anchor>
        </w:drawing>
      </w:r>
      <w:r w:rsidR="00304963">
        <w:rPr>
          <w:rFonts w:ascii="Garamond" w:hAnsi="Garamond"/>
          <w:sz w:val="24"/>
          <w:lang w:val="en-US"/>
        </w:rPr>
        <w:br w:type="textWrapping" w:clear="all"/>
      </w:r>
    </w:p>
    <w:p w14:paraId="576E5031" w14:textId="77777777" w:rsidR="00F520DB" w:rsidRPr="00FE73E4" w:rsidRDefault="00F520DB" w:rsidP="007733FB">
      <w:pPr>
        <w:ind w:left="3600" w:firstLine="720"/>
        <w:jc w:val="right"/>
        <w:rPr>
          <w:rFonts w:ascii="Arial" w:hAnsi="Arial" w:cs="Arial"/>
          <w:b/>
          <w:lang w:val="en-US"/>
        </w:rPr>
      </w:pPr>
    </w:p>
    <w:p w14:paraId="3E074F0D" w14:textId="671FA538" w:rsidR="007733FB" w:rsidRPr="00FE73E4" w:rsidRDefault="000A6B60" w:rsidP="007733FB">
      <w:pPr>
        <w:rPr>
          <w:rFonts w:ascii="Arial" w:hAnsi="Arial" w:cs="Arial"/>
          <w:b/>
          <w:sz w:val="24"/>
          <w:szCs w:val="24"/>
          <w:lang w:val="en-US"/>
        </w:rPr>
      </w:pPr>
      <w:r w:rsidRPr="00FE73E4">
        <w:rPr>
          <w:rFonts w:ascii="Arial" w:hAnsi="Arial" w:cs="Arial"/>
          <w:b/>
          <w:sz w:val="24"/>
          <w:szCs w:val="24"/>
          <w:lang w:val="en-US"/>
        </w:rPr>
        <w:t xml:space="preserve">  Press release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7733FB" w:rsidRPr="00FE73E4" w14:paraId="3FC01518" w14:textId="77777777" w:rsidTr="00E8466A">
        <w:trPr>
          <w:trHeight w:val="848"/>
        </w:trPr>
        <w:tc>
          <w:tcPr>
            <w:tcW w:w="10215" w:type="dxa"/>
            <w:shd w:val="clear" w:color="auto" w:fill="auto"/>
          </w:tcPr>
          <w:p w14:paraId="1460F4C4" w14:textId="77777777" w:rsidR="0086346B" w:rsidRDefault="0086346B" w:rsidP="0086346B">
            <w:pPr>
              <w:pStyle w:val="Header"/>
              <w:ind w:left="-630"/>
              <w:jc w:val="right"/>
              <w:rPr>
                <w:rFonts w:ascii="Arial" w:hAnsi="Arial" w:cs="Arial"/>
                <w:sz w:val="18"/>
                <w:szCs w:val="18"/>
                <w:lang w:val="en-US"/>
              </w:rPr>
            </w:pPr>
          </w:p>
          <w:p w14:paraId="7874D02B" w14:textId="742A4333" w:rsidR="0086346B" w:rsidRPr="00FE73E4" w:rsidRDefault="0086346B" w:rsidP="0086346B">
            <w:pPr>
              <w:pStyle w:val="Header"/>
              <w:ind w:left="-630"/>
              <w:jc w:val="right"/>
              <w:rPr>
                <w:rFonts w:ascii="Arial" w:hAnsi="Arial" w:cs="Arial"/>
                <w:sz w:val="18"/>
                <w:szCs w:val="18"/>
                <w:lang w:val="en-US"/>
              </w:rPr>
            </w:pPr>
            <w:r w:rsidRPr="00FE73E4">
              <w:rPr>
                <w:rFonts w:ascii="Arial" w:hAnsi="Arial" w:cs="Arial"/>
                <w:sz w:val="18"/>
                <w:szCs w:val="18"/>
                <w:lang w:val="en-US"/>
              </w:rPr>
              <w:t>CBRE: +421 232 553</w:t>
            </w:r>
            <w:r>
              <w:rPr>
                <w:rFonts w:ascii="Arial" w:hAnsi="Arial" w:cs="Arial"/>
                <w:sz w:val="18"/>
                <w:szCs w:val="18"/>
                <w:lang w:val="en-US"/>
              </w:rPr>
              <w:t> </w:t>
            </w:r>
            <w:r w:rsidRPr="00FE73E4">
              <w:rPr>
                <w:rFonts w:ascii="Arial" w:hAnsi="Arial" w:cs="Arial"/>
                <w:sz w:val="18"/>
                <w:szCs w:val="18"/>
                <w:lang w:val="en-US"/>
              </w:rPr>
              <w:t>300</w:t>
            </w:r>
          </w:p>
          <w:p w14:paraId="2D953512" w14:textId="77777777" w:rsidR="005D666E" w:rsidRPr="00FE73E4" w:rsidRDefault="005D666E" w:rsidP="00E8466A">
            <w:pPr>
              <w:pStyle w:val="Header"/>
              <w:jc w:val="right"/>
              <w:rPr>
                <w:rFonts w:ascii="Arial" w:hAnsi="Arial" w:cs="Arial"/>
                <w:sz w:val="18"/>
                <w:szCs w:val="18"/>
                <w:lang w:val="en-US"/>
              </w:rPr>
            </w:pPr>
            <w:r w:rsidRPr="00FE73E4">
              <w:rPr>
                <w:rFonts w:ascii="Arial" w:hAnsi="Arial" w:cs="Arial"/>
                <w:sz w:val="18"/>
                <w:szCs w:val="18"/>
                <w:lang w:val="en-US"/>
              </w:rPr>
              <w:t>Cushman &amp; Wakefield: +42</w:t>
            </w:r>
            <w:r w:rsidR="00160FAA" w:rsidRPr="00FE73E4">
              <w:rPr>
                <w:rFonts w:ascii="Arial" w:hAnsi="Arial" w:cs="Arial"/>
                <w:sz w:val="18"/>
                <w:szCs w:val="18"/>
                <w:lang w:val="en-US"/>
              </w:rPr>
              <w:t>1 259 209 33</w:t>
            </w:r>
            <w:r w:rsidRPr="00FE73E4">
              <w:rPr>
                <w:rFonts w:ascii="Arial" w:hAnsi="Arial" w:cs="Arial"/>
                <w:sz w:val="18"/>
                <w:szCs w:val="18"/>
                <w:lang w:val="en-US"/>
              </w:rPr>
              <w:t>3</w:t>
            </w:r>
          </w:p>
          <w:p w14:paraId="38A078A4" w14:textId="57202F6B" w:rsidR="004540D0" w:rsidRPr="00FE73E4" w:rsidRDefault="00160FAA" w:rsidP="00E8466A">
            <w:pPr>
              <w:pStyle w:val="Header"/>
              <w:jc w:val="right"/>
              <w:rPr>
                <w:rFonts w:ascii="Arial" w:hAnsi="Arial" w:cs="Arial"/>
                <w:sz w:val="18"/>
                <w:szCs w:val="18"/>
                <w:lang w:val="en-US"/>
              </w:rPr>
            </w:pPr>
            <w:r w:rsidRPr="00FE73E4">
              <w:rPr>
                <w:rFonts w:ascii="Arial" w:hAnsi="Arial" w:cs="Arial"/>
                <w:sz w:val="18"/>
                <w:szCs w:val="18"/>
                <w:lang w:val="en-US"/>
              </w:rPr>
              <w:t>Colliers: +421 259</w:t>
            </w:r>
            <w:r w:rsidR="007733FB" w:rsidRPr="00FE73E4">
              <w:rPr>
                <w:rFonts w:ascii="Arial" w:hAnsi="Arial" w:cs="Arial"/>
                <w:sz w:val="18"/>
                <w:szCs w:val="18"/>
                <w:lang w:val="en-US"/>
              </w:rPr>
              <w:t> </w:t>
            </w:r>
            <w:r w:rsidRPr="00FE73E4">
              <w:rPr>
                <w:rFonts w:ascii="Arial" w:hAnsi="Arial" w:cs="Arial"/>
                <w:sz w:val="18"/>
                <w:szCs w:val="18"/>
                <w:lang w:val="en-US"/>
              </w:rPr>
              <w:t>980</w:t>
            </w:r>
            <w:r w:rsidR="004540D0" w:rsidRPr="00FE73E4">
              <w:rPr>
                <w:rFonts w:ascii="Arial" w:hAnsi="Arial" w:cs="Arial"/>
                <w:sz w:val="18"/>
                <w:szCs w:val="18"/>
                <w:lang w:val="en-US"/>
              </w:rPr>
              <w:t> </w:t>
            </w:r>
            <w:r w:rsidRPr="00FE73E4">
              <w:rPr>
                <w:rFonts w:ascii="Arial" w:hAnsi="Arial" w:cs="Arial"/>
                <w:sz w:val="18"/>
                <w:szCs w:val="18"/>
                <w:lang w:val="en-US"/>
              </w:rPr>
              <w:t>980</w:t>
            </w:r>
          </w:p>
          <w:p w14:paraId="7F40F215" w14:textId="77777777" w:rsidR="007733FB" w:rsidRPr="00FE73E4" w:rsidRDefault="00F23D1D" w:rsidP="00E8466A">
            <w:pPr>
              <w:pStyle w:val="Header"/>
              <w:jc w:val="right"/>
              <w:rPr>
                <w:rFonts w:ascii="Arial" w:hAnsi="Arial" w:cs="Arial"/>
                <w:sz w:val="18"/>
                <w:szCs w:val="18"/>
                <w:lang w:val="en-US"/>
              </w:rPr>
            </w:pPr>
            <w:r w:rsidRPr="00FE73E4">
              <w:rPr>
                <w:rFonts w:ascii="Arial" w:hAnsi="Arial" w:cs="Arial"/>
                <w:sz w:val="18"/>
                <w:szCs w:val="18"/>
                <w:lang w:val="en-US"/>
              </w:rPr>
              <w:t>JLL</w:t>
            </w:r>
            <w:r w:rsidR="004540D0" w:rsidRPr="00FE73E4">
              <w:rPr>
                <w:rFonts w:ascii="Arial" w:hAnsi="Arial" w:cs="Arial"/>
                <w:sz w:val="18"/>
                <w:szCs w:val="18"/>
                <w:lang w:val="en-US"/>
              </w:rPr>
              <w:t>: +421 259 209 931</w:t>
            </w:r>
            <w:r w:rsidR="007733FB" w:rsidRPr="00FE73E4">
              <w:rPr>
                <w:rFonts w:ascii="Arial" w:hAnsi="Arial" w:cs="Arial"/>
                <w:sz w:val="18"/>
                <w:szCs w:val="18"/>
                <w:lang w:val="en-US"/>
              </w:rPr>
              <w:t xml:space="preserve">            </w:t>
            </w:r>
          </w:p>
          <w:p w14:paraId="79940CE8" w14:textId="77777777" w:rsidR="007733FB" w:rsidRPr="00FE73E4" w:rsidRDefault="007733FB" w:rsidP="00E8466A">
            <w:pPr>
              <w:pStyle w:val="Header"/>
              <w:jc w:val="right"/>
              <w:rPr>
                <w:rFonts w:ascii="Arial" w:hAnsi="Arial" w:cs="Arial"/>
                <w:sz w:val="18"/>
                <w:szCs w:val="18"/>
                <w:lang w:val="en-US"/>
              </w:rPr>
            </w:pPr>
          </w:p>
        </w:tc>
      </w:tr>
    </w:tbl>
    <w:p w14:paraId="46F61A73" w14:textId="77777777" w:rsidR="007733FB" w:rsidRPr="00FE73E4" w:rsidRDefault="007733FB" w:rsidP="005D48BA">
      <w:pPr>
        <w:rPr>
          <w:lang w:val="en-US"/>
        </w:rPr>
      </w:pPr>
      <w:bookmarkStart w:id="1" w:name="OLE_LINK3"/>
      <w:bookmarkStart w:id="2" w:name="OLE_LINK4"/>
    </w:p>
    <w:p w14:paraId="70CD2793" w14:textId="1E24345E" w:rsidR="00A61BA1" w:rsidRPr="00FE73E4" w:rsidRDefault="00F469C7" w:rsidP="00407FBC">
      <w:pPr>
        <w:jc w:val="both"/>
        <w:rPr>
          <w:rFonts w:ascii="Arial" w:hAnsi="Arial" w:cs="Arial"/>
          <w:lang w:val="en-US"/>
        </w:rPr>
      </w:pPr>
      <w:r>
        <w:rPr>
          <w:rFonts w:ascii="Arial" w:hAnsi="Arial" w:cs="Arial"/>
          <w:lang w:val="en-US"/>
        </w:rPr>
        <w:t>April</w:t>
      </w:r>
      <w:r w:rsidR="00D252A3" w:rsidRPr="009910B1">
        <w:rPr>
          <w:rFonts w:ascii="Arial" w:hAnsi="Arial" w:cs="Arial"/>
          <w:lang w:val="en-US"/>
        </w:rPr>
        <w:t xml:space="preserve"> </w:t>
      </w:r>
      <w:r w:rsidR="00DF29E8">
        <w:rPr>
          <w:rFonts w:ascii="Arial" w:hAnsi="Arial" w:cs="Arial"/>
          <w:lang w:val="en-US"/>
        </w:rPr>
        <w:t>2</w:t>
      </w:r>
      <w:r w:rsidR="009B1AF1">
        <w:rPr>
          <w:rFonts w:ascii="Arial" w:hAnsi="Arial" w:cs="Arial"/>
          <w:lang w:val="en-US"/>
        </w:rPr>
        <w:t>8</w:t>
      </w:r>
      <w:r w:rsidR="00985E70">
        <w:rPr>
          <w:rFonts w:ascii="Arial" w:hAnsi="Arial" w:cs="Arial"/>
          <w:vertAlign w:val="superscript"/>
          <w:lang w:val="en-US"/>
        </w:rPr>
        <w:t>t</w:t>
      </w:r>
      <w:r w:rsidR="00DF29E8" w:rsidRPr="00704AB7">
        <w:rPr>
          <w:rFonts w:ascii="Arial" w:hAnsi="Arial" w:cs="Arial"/>
          <w:vertAlign w:val="superscript"/>
          <w:lang w:val="en-US"/>
        </w:rPr>
        <w:t>h</w:t>
      </w:r>
      <w:r w:rsidR="00DF29E8">
        <w:rPr>
          <w:rFonts w:ascii="Arial" w:hAnsi="Arial" w:cs="Arial"/>
          <w:lang w:val="en-US"/>
        </w:rPr>
        <w:t xml:space="preserve"> 202</w:t>
      </w:r>
      <w:r>
        <w:rPr>
          <w:rFonts w:ascii="Arial" w:hAnsi="Arial" w:cs="Arial"/>
          <w:lang w:val="en-US"/>
        </w:rPr>
        <w:t>2</w:t>
      </w:r>
      <w:r w:rsidR="00BB0E42" w:rsidRPr="00FE73E4">
        <w:rPr>
          <w:rFonts w:ascii="Arial" w:hAnsi="Arial" w:cs="Arial"/>
          <w:lang w:val="en-US"/>
        </w:rPr>
        <w:t xml:space="preserve">, </w:t>
      </w:r>
      <w:r w:rsidR="005D666E" w:rsidRPr="00FE73E4">
        <w:rPr>
          <w:rFonts w:ascii="Arial" w:hAnsi="Arial" w:cs="Arial"/>
          <w:lang w:val="en-US"/>
        </w:rPr>
        <w:t>Bratislava</w:t>
      </w:r>
    </w:p>
    <w:p w14:paraId="3D798918" w14:textId="311D2EE5" w:rsidR="007733FB" w:rsidRPr="00FE73E4" w:rsidRDefault="007733FB" w:rsidP="007733FB">
      <w:pPr>
        <w:jc w:val="both"/>
        <w:rPr>
          <w:rFonts w:ascii="Arial" w:hAnsi="Arial" w:cs="Arial"/>
          <w:b/>
          <w:lang w:val="en-US"/>
        </w:rPr>
      </w:pPr>
    </w:p>
    <w:p w14:paraId="30D4D956" w14:textId="77777777" w:rsidR="000A6B60" w:rsidRPr="00FE73E4" w:rsidRDefault="000A6B60" w:rsidP="000A6B60">
      <w:pPr>
        <w:jc w:val="center"/>
        <w:outlineLvl w:val="0"/>
        <w:rPr>
          <w:rFonts w:ascii="Arial" w:hAnsi="Arial" w:cs="Arial"/>
          <w:b/>
          <w:sz w:val="24"/>
          <w:szCs w:val="24"/>
          <w:lang w:val="en-US"/>
        </w:rPr>
      </w:pPr>
      <w:r w:rsidRPr="00FE73E4">
        <w:rPr>
          <w:rFonts w:ascii="Arial" w:hAnsi="Arial" w:cs="Arial"/>
          <w:b/>
          <w:sz w:val="24"/>
          <w:szCs w:val="24"/>
          <w:lang w:val="en-US"/>
        </w:rPr>
        <w:t>Bratislava Research Forum Announces</w:t>
      </w:r>
    </w:p>
    <w:p w14:paraId="70A27CE0" w14:textId="54B62513" w:rsidR="000A6B60" w:rsidRPr="00FE73E4" w:rsidRDefault="000A6B60" w:rsidP="000A6B60">
      <w:pPr>
        <w:jc w:val="center"/>
        <w:outlineLvl w:val="0"/>
        <w:rPr>
          <w:rFonts w:ascii="Arial" w:hAnsi="Arial" w:cs="Arial"/>
          <w:b/>
          <w:sz w:val="24"/>
          <w:szCs w:val="24"/>
          <w:lang w:val="en-US"/>
        </w:rPr>
      </w:pPr>
      <w:r w:rsidRPr="00FE73E4">
        <w:rPr>
          <w:rFonts w:ascii="Arial" w:hAnsi="Arial" w:cs="Arial"/>
          <w:b/>
          <w:sz w:val="24"/>
          <w:szCs w:val="24"/>
          <w:lang w:val="en-US"/>
        </w:rPr>
        <w:t>Office Market Figures for Q</w:t>
      </w:r>
      <w:r w:rsidR="00F469C7">
        <w:rPr>
          <w:rFonts w:ascii="Arial" w:hAnsi="Arial" w:cs="Arial"/>
          <w:b/>
          <w:sz w:val="24"/>
          <w:szCs w:val="24"/>
          <w:lang w:val="en-US"/>
        </w:rPr>
        <w:t>1</w:t>
      </w:r>
      <w:r w:rsidR="0078287D" w:rsidRPr="00FE73E4">
        <w:rPr>
          <w:rFonts w:ascii="Arial" w:hAnsi="Arial" w:cs="Arial"/>
          <w:b/>
          <w:sz w:val="24"/>
          <w:szCs w:val="24"/>
          <w:lang w:val="en-US"/>
        </w:rPr>
        <w:t xml:space="preserve"> 20</w:t>
      </w:r>
      <w:r w:rsidR="004B498E" w:rsidRPr="00FE73E4">
        <w:rPr>
          <w:rFonts w:ascii="Arial" w:hAnsi="Arial" w:cs="Arial"/>
          <w:b/>
          <w:sz w:val="24"/>
          <w:szCs w:val="24"/>
          <w:lang w:val="en-US"/>
        </w:rPr>
        <w:t>2</w:t>
      </w:r>
      <w:r w:rsidR="00F469C7">
        <w:rPr>
          <w:rFonts w:ascii="Arial" w:hAnsi="Arial" w:cs="Arial"/>
          <w:b/>
          <w:sz w:val="24"/>
          <w:szCs w:val="24"/>
          <w:lang w:val="en-US"/>
        </w:rPr>
        <w:t>2</w:t>
      </w:r>
    </w:p>
    <w:p w14:paraId="647B1FDB" w14:textId="77777777" w:rsidR="00C749CD" w:rsidRPr="00FE73E4" w:rsidRDefault="00C749CD" w:rsidP="00710C2A">
      <w:pPr>
        <w:jc w:val="both"/>
        <w:outlineLvl w:val="0"/>
        <w:rPr>
          <w:rFonts w:ascii="Arial" w:hAnsi="Arial" w:cs="Arial"/>
          <w:b/>
          <w:sz w:val="24"/>
          <w:szCs w:val="24"/>
          <w:lang w:val="en-US"/>
        </w:rPr>
      </w:pPr>
    </w:p>
    <w:p w14:paraId="7CEE9CC6" w14:textId="468F8A2C" w:rsidR="00A91AC1" w:rsidRPr="00FE73E4" w:rsidRDefault="00281A03" w:rsidP="00A91AC1">
      <w:pPr>
        <w:jc w:val="both"/>
        <w:rPr>
          <w:rFonts w:ascii="Arial" w:hAnsi="Arial" w:cs="Arial"/>
          <w:b/>
          <w:sz w:val="18"/>
          <w:szCs w:val="18"/>
          <w:lang w:val="en-US"/>
        </w:rPr>
      </w:pPr>
      <w:r w:rsidRPr="00281A03">
        <w:rPr>
          <w:rFonts w:ascii="Arial" w:hAnsi="Arial" w:cs="Arial"/>
          <w:b/>
          <w:sz w:val="18"/>
          <w:szCs w:val="18"/>
          <w:lang w:val="en-US"/>
        </w:rPr>
        <w:t xml:space="preserve">In the </w:t>
      </w:r>
      <w:r w:rsidR="00F469C7">
        <w:rPr>
          <w:rFonts w:ascii="Arial" w:hAnsi="Arial" w:cs="Arial"/>
          <w:b/>
          <w:sz w:val="18"/>
          <w:szCs w:val="18"/>
          <w:lang w:val="en-US"/>
        </w:rPr>
        <w:t>first</w:t>
      </w:r>
      <w:r w:rsidRPr="00281A03">
        <w:rPr>
          <w:rFonts w:ascii="Arial" w:hAnsi="Arial" w:cs="Arial"/>
          <w:b/>
          <w:sz w:val="18"/>
          <w:szCs w:val="18"/>
          <w:lang w:val="en-US"/>
        </w:rPr>
        <w:t xml:space="preserve"> quarter of 202</w:t>
      </w:r>
      <w:r w:rsidR="00F469C7">
        <w:rPr>
          <w:rFonts w:ascii="Arial" w:hAnsi="Arial" w:cs="Arial"/>
          <w:b/>
          <w:sz w:val="18"/>
          <w:szCs w:val="18"/>
          <w:lang w:val="en-US"/>
        </w:rPr>
        <w:t>2</w:t>
      </w:r>
      <w:r w:rsidRPr="00281A03">
        <w:rPr>
          <w:rFonts w:ascii="Arial" w:hAnsi="Arial" w:cs="Arial"/>
          <w:b/>
          <w:sz w:val="18"/>
          <w:szCs w:val="18"/>
          <w:lang w:val="en-US"/>
        </w:rPr>
        <w:t xml:space="preserve">, the total office stock in Bratislava </w:t>
      </w:r>
      <w:r w:rsidR="000E7003">
        <w:rPr>
          <w:rFonts w:ascii="Arial" w:hAnsi="Arial" w:cs="Arial"/>
          <w:b/>
          <w:sz w:val="18"/>
          <w:szCs w:val="18"/>
          <w:lang w:val="en-US"/>
        </w:rPr>
        <w:t>surpassed</w:t>
      </w:r>
      <w:r w:rsidR="00BA4659">
        <w:rPr>
          <w:rFonts w:ascii="Arial" w:hAnsi="Arial" w:cs="Arial"/>
          <w:b/>
          <w:sz w:val="18"/>
          <w:szCs w:val="18"/>
          <w:lang w:val="en-US"/>
        </w:rPr>
        <w:t xml:space="preserve"> 2 million sqm for the first time</w:t>
      </w:r>
      <w:r w:rsidRPr="00281A03">
        <w:rPr>
          <w:rFonts w:ascii="Arial" w:hAnsi="Arial" w:cs="Arial"/>
          <w:b/>
          <w:sz w:val="18"/>
          <w:szCs w:val="18"/>
          <w:lang w:val="en-US"/>
        </w:rPr>
        <w:t xml:space="preserve"> </w:t>
      </w:r>
      <w:r w:rsidR="001B5CD8">
        <w:rPr>
          <w:rFonts w:ascii="Arial" w:hAnsi="Arial" w:cs="Arial"/>
          <w:b/>
          <w:sz w:val="18"/>
          <w:szCs w:val="18"/>
          <w:lang w:val="en-US"/>
        </w:rPr>
        <w:t>and reached</w:t>
      </w:r>
      <w:r w:rsidR="00702D21">
        <w:rPr>
          <w:rFonts w:ascii="Arial" w:hAnsi="Arial" w:cs="Arial"/>
          <w:b/>
          <w:sz w:val="18"/>
          <w:szCs w:val="18"/>
          <w:lang w:val="en-US"/>
        </w:rPr>
        <w:t xml:space="preserve"> the value of</w:t>
      </w:r>
      <w:r w:rsidRPr="00281A03">
        <w:rPr>
          <w:rFonts w:ascii="Arial" w:hAnsi="Arial" w:cs="Arial"/>
          <w:b/>
          <w:sz w:val="18"/>
          <w:szCs w:val="18"/>
          <w:lang w:val="en-US"/>
        </w:rPr>
        <w:t xml:space="preserve"> </w:t>
      </w:r>
      <w:r w:rsidR="00F469C7">
        <w:rPr>
          <w:rFonts w:ascii="Arial" w:hAnsi="Arial" w:cs="Arial"/>
          <w:b/>
          <w:sz w:val="18"/>
          <w:szCs w:val="18"/>
          <w:lang w:val="en-US"/>
        </w:rPr>
        <w:t>2</w:t>
      </w:r>
      <w:r w:rsidRPr="00281A03">
        <w:rPr>
          <w:rFonts w:ascii="Arial" w:hAnsi="Arial" w:cs="Arial"/>
          <w:b/>
          <w:sz w:val="18"/>
          <w:szCs w:val="18"/>
          <w:lang w:val="en-US"/>
        </w:rPr>
        <w:t>.</w:t>
      </w:r>
      <w:r w:rsidR="00F469C7">
        <w:rPr>
          <w:rFonts w:ascii="Arial" w:hAnsi="Arial" w:cs="Arial"/>
          <w:b/>
          <w:sz w:val="18"/>
          <w:szCs w:val="18"/>
          <w:lang w:val="en-US"/>
        </w:rPr>
        <w:t>005</w:t>
      </w:r>
      <w:r w:rsidRPr="00281A03">
        <w:rPr>
          <w:rFonts w:ascii="Arial" w:hAnsi="Arial" w:cs="Arial"/>
          <w:b/>
          <w:sz w:val="18"/>
          <w:szCs w:val="18"/>
          <w:lang w:val="en-US"/>
        </w:rPr>
        <w:t xml:space="preserve"> mi</w:t>
      </w:r>
      <w:r w:rsidR="00376F46">
        <w:rPr>
          <w:rFonts w:ascii="Arial" w:hAnsi="Arial" w:cs="Arial"/>
          <w:b/>
          <w:sz w:val="18"/>
          <w:szCs w:val="18"/>
          <w:lang w:val="en-US"/>
        </w:rPr>
        <w:t>llion</w:t>
      </w:r>
      <w:r w:rsidRPr="00281A03">
        <w:rPr>
          <w:rFonts w:ascii="Arial" w:hAnsi="Arial" w:cs="Arial"/>
          <w:b/>
          <w:sz w:val="18"/>
          <w:szCs w:val="18"/>
          <w:lang w:val="en-US"/>
        </w:rPr>
        <w:t xml:space="preserve"> sqm. 6</w:t>
      </w:r>
      <w:r w:rsidR="00DF29E8">
        <w:rPr>
          <w:rFonts w:ascii="Arial" w:hAnsi="Arial" w:cs="Arial"/>
          <w:b/>
          <w:sz w:val="18"/>
          <w:szCs w:val="18"/>
          <w:lang w:val="en-US"/>
        </w:rPr>
        <w:t>5</w:t>
      </w:r>
      <w:r w:rsidRPr="00281A03">
        <w:rPr>
          <w:rFonts w:ascii="Arial" w:hAnsi="Arial" w:cs="Arial"/>
          <w:b/>
          <w:sz w:val="18"/>
          <w:szCs w:val="18"/>
          <w:lang w:val="en-US"/>
        </w:rPr>
        <w:t>% of total stock consists of class A office space and 3</w:t>
      </w:r>
      <w:r w:rsidR="00DF29E8">
        <w:rPr>
          <w:rFonts w:ascii="Arial" w:hAnsi="Arial" w:cs="Arial"/>
          <w:b/>
          <w:sz w:val="18"/>
          <w:szCs w:val="18"/>
          <w:lang w:val="en-US"/>
        </w:rPr>
        <w:t>5</w:t>
      </w:r>
      <w:r w:rsidRPr="00281A03">
        <w:rPr>
          <w:rFonts w:ascii="Arial" w:hAnsi="Arial" w:cs="Arial"/>
          <w:b/>
          <w:sz w:val="18"/>
          <w:szCs w:val="18"/>
          <w:lang w:val="en-US"/>
        </w:rPr>
        <w:t>% of class B office space.</w:t>
      </w:r>
    </w:p>
    <w:p w14:paraId="69015402" w14:textId="77777777" w:rsidR="00A91AC1" w:rsidRPr="00FE73E4" w:rsidRDefault="00A91AC1" w:rsidP="00A91AC1">
      <w:pPr>
        <w:jc w:val="both"/>
        <w:rPr>
          <w:rFonts w:ascii="Arial" w:hAnsi="Arial" w:cs="Arial"/>
          <w:b/>
          <w:sz w:val="18"/>
          <w:szCs w:val="18"/>
          <w:lang w:val="en-US"/>
        </w:rPr>
      </w:pPr>
    </w:p>
    <w:p w14:paraId="6954FDED" w14:textId="443397F6" w:rsidR="001400DA" w:rsidRDefault="00C51FD6" w:rsidP="00A91AC1">
      <w:pPr>
        <w:jc w:val="both"/>
        <w:outlineLvl w:val="0"/>
        <w:rPr>
          <w:rFonts w:ascii="Arial" w:hAnsi="Arial" w:cs="Arial"/>
          <w:sz w:val="18"/>
          <w:szCs w:val="18"/>
          <w:lang w:val="en-US"/>
        </w:rPr>
      </w:pPr>
      <w:r w:rsidRPr="00C51FD6">
        <w:rPr>
          <w:rFonts w:ascii="Arial" w:hAnsi="Arial" w:cs="Arial"/>
          <w:sz w:val="18"/>
          <w:szCs w:val="18"/>
          <w:lang w:val="en-US"/>
        </w:rPr>
        <w:t xml:space="preserve">During the </w:t>
      </w:r>
      <w:r w:rsidR="00F469C7">
        <w:rPr>
          <w:rFonts w:ascii="Arial" w:hAnsi="Arial" w:cs="Arial"/>
          <w:sz w:val="18"/>
          <w:szCs w:val="18"/>
          <w:lang w:val="en-US"/>
        </w:rPr>
        <w:t>first</w:t>
      </w:r>
      <w:r w:rsidRPr="00C51FD6">
        <w:rPr>
          <w:rFonts w:ascii="Arial" w:hAnsi="Arial" w:cs="Arial"/>
          <w:sz w:val="18"/>
          <w:szCs w:val="18"/>
          <w:lang w:val="en-US"/>
        </w:rPr>
        <w:t xml:space="preserve"> quarter of 202</w:t>
      </w:r>
      <w:r w:rsidR="00F469C7">
        <w:rPr>
          <w:rFonts w:ascii="Arial" w:hAnsi="Arial" w:cs="Arial"/>
          <w:sz w:val="18"/>
          <w:szCs w:val="18"/>
          <w:lang w:val="en-US"/>
        </w:rPr>
        <w:t>2</w:t>
      </w:r>
      <w:r w:rsidRPr="00C51FD6">
        <w:rPr>
          <w:rFonts w:ascii="Arial" w:hAnsi="Arial" w:cs="Arial"/>
          <w:sz w:val="18"/>
          <w:szCs w:val="18"/>
          <w:lang w:val="en-US"/>
        </w:rPr>
        <w:t xml:space="preserve">, </w:t>
      </w:r>
      <w:r w:rsidR="00DF29E8">
        <w:rPr>
          <w:rFonts w:ascii="Arial" w:hAnsi="Arial" w:cs="Arial"/>
          <w:sz w:val="18"/>
          <w:szCs w:val="18"/>
          <w:lang w:val="en-US"/>
        </w:rPr>
        <w:t>one</w:t>
      </w:r>
      <w:r w:rsidR="00D45CF8">
        <w:rPr>
          <w:rFonts w:ascii="Arial" w:hAnsi="Arial" w:cs="Arial"/>
          <w:sz w:val="18"/>
          <w:szCs w:val="18"/>
          <w:lang w:val="en-US"/>
        </w:rPr>
        <w:t xml:space="preserve"> </w:t>
      </w:r>
      <w:r w:rsidR="00694319">
        <w:rPr>
          <w:rFonts w:ascii="Arial" w:hAnsi="Arial" w:cs="Arial"/>
          <w:sz w:val="18"/>
          <w:szCs w:val="18"/>
          <w:lang w:val="en-US"/>
        </w:rPr>
        <w:t>new office building</w:t>
      </w:r>
      <w:r w:rsidR="00D45CF8">
        <w:rPr>
          <w:rFonts w:ascii="Arial" w:hAnsi="Arial" w:cs="Arial"/>
          <w:sz w:val="18"/>
          <w:szCs w:val="18"/>
          <w:lang w:val="en-US"/>
        </w:rPr>
        <w:t xml:space="preserve"> w</w:t>
      </w:r>
      <w:r w:rsidR="00DF29E8">
        <w:rPr>
          <w:rFonts w:ascii="Arial" w:hAnsi="Arial" w:cs="Arial"/>
          <w:sz w:val="18"/>
          <w:szCs w:val="18"/>
          <w:lang w:val="en-US"/>
        </w:rPr>
        <w:t>as</w:t>
      </w:r>
      <w:r w:rsidR="00D45CF8">
        <w:rPr>
          <w:rFonts w:ascii="Arial" w:hAnsi="Arial" w:cs="Arial"/>
          <w:sz w:val="18"/>
          <w:szCs w:val="18"/>
          <w:lang w:val="en-US"/>
        </w:rPr>
        <w:t xml:space="preserve"> added to the market</w:t>
      </w:r>
      <w:r w:rsidR="00F65586">
        <w:rPr>
          <w:rFonts w:ascii="Arial" w:hAnsi="Arial" w:cs="Arial"/>
          <w:sz w:val="18"/>
          <w:szCs w:val="18"/>
          <w:lang w:val="en-US"/>
        </w:rPr>
        <w:t>,</w:t>
      </w:r>
      <w:r w:rsidR="00D45CF8">
        <w:rPr>
          <w:rFonts w:ascii="Arial" w:hAnsi="Arial" w:cs="Arial"/>
          <w:sz w:val="18"/>
          <w:szCs w:val="18"/>
          <w:lang w:val="en-US"/>
        </w:rPr>
        <w:t xml:space="preserve"> namely</w:t>
      </w:r>
      <w:r w:rsidR="00694319">
        <w:rPr>
          <w:rFonts w:ascii="Arial" w:hAnsi="Arial" w:cs="Arial"/>
          <w:sz w:val="18"/>
          <w:szCs w:val="18"/>
          <w:lang w:val="en-US"/>
        </w:rPr>
        <w:t xml:space="preserve"> </w:t>
      </w:r>
      <w:r w:rsidR="00B83224">
        <w:rPr>
          <w:rFonts w:ascii="Arial" w:hAnsi="Arial" w:cs="Arial"/>
          <w:sz w:val="18"/>
          <w:szCs w:val="18"/>
          <w:lang w:val="en-US"/>
        </w:rPr>
        <w:t>Omnia BC</w:t>
      </w:r>
      <w:r w:rsidR="00D45CF8">
        <w:rPr>
          <w:rFonts w:ascii="Arial" w:hAnsi="Arial" w:cs="Arial"/>
          <w:sz w:val="18"/>
          <w:szCs w:val="18"/>
          <w:lang w:val="en-US"/>
        </w:rPr>
        <w:t xml:space="preserve"> with </w:t>
      </w:r>
      <w:r w:rsidR="00DF29E8">
        <w:rPr>
          <w:rFonts w:ascii="Arial" w:hAnsi="Arial" w:cs="Arial"/>
          <w:sz w:val="18"/>
          <w:szCs w:val="18"/>
          <w:lang w:val="en-US"/>
        </w:rPr>
        <w:t>1</w:t>
      </w:r>
      <w:r w:rsidR="008A6CA4">
        <w:rPr>
          <w:rFonts w:ascii="Arial" w:hAnsi="Arial" w:cs="Arial"/>
          <w:sz w:val="18"/>
          <w:szCs w:val="18"/>
          <w:lang w:val="en-US"/>
        </w:rPr>
        <w:t>1</w:t>
      </w:r>
      <w:r w:rsidR="00DF29E8">
        <w:rPr>
          <w:rFonts w:ascii="Arial" w:hAnsi="Arial" w:cs="Arial"/>
          <w:sz w:val="18"/>
          <w:szCs w:val="18"/>
          <w:lang w:val="en-US"/>
        </w:rPr>
        <w:t>,</w:t>
      </w:r>
      <w:r w:rsidR="008A6CA4">
        <w:rPr>
          <w:rFonts w:ascii="Arial" w:hAnsi="Arial" w:cs="Arial"/>
          <w:sz w:val="18"/>
          <w:szCs w:val="18"/>
          <w:lang w:val="en-US"/>
        </w:rPr>
        <w:t>160</w:t>
      </w:r>
      <w:r w:rsidR="00D45CF8">
        <w:rPr>
          <w:rFonts w:ascii="Arial" w:hAnsi="Arial" w:cs="Arial"/>
          <w:sz w:val="18"/>
          <w:szCs w:val="18"/>
          <w:lang w:val="en-US"/>
        </w:rPr>
        <w:t xml:space="preserve"> sqm</w:t>
      </w:r>
      <w:r w:rsidR="00DF29E8">
        <w:rPr>
          <w:rFonts w:ascii="Arial" w:hAnsi="Arial" w:cs="Arial"/>
          <w:sz w:val="18"/>
          <w:szCs w:val="18"/>
          <w:lang w:val="en-US"/>
        </w:rPr>
        <w:t xml:space="preserve">. </w:t>
      </w:r>
    </w:p>
    <w:p w14:paraId="00311996" w14:textId="77777777" w:rsidR="00A91AC1" w:rsidRPr="00FE73E4" w:rsidRDefault="00A91AC1" w:rsidP="00A91AC1">
      <w:pPr>
        <w:jc w:val="both"/>
        <w:rPr>
          <w:rFonts w:ascii="Arial" w:hAnsi="Arial" w:cs="Arial"/>
          <w:b/>
          <w:sz w:val="18"/>
          <w:szCs w:val="18"/>
          <w:lang w:val="en-US"/>
        </w:rPr>
      </w:pPr>
    </w:p>
    <w:bookmarkEnd w:id="1"/>
    <w:bookmarkEnd w:id="2"/>
    <w:p w14:paraId="1C1374CC" w14:textId="62B5C70A" w:rsidR="00463E3A" w:rsidRPr="00FE73E4" w:rsidRDefault="00A61BA1" w:rsidP="000A6B60">
      <w:pPr>
        <w:jc w:val="both"/>
        <w:rPr>
          <w:rFonts w:ascii="Arial" w:hAnsi="Arial" w:cs="Arial"/>
          <w:b/>
          <w:sz w:val="18"/>
          <w:szCs w:val="18"/>
          <w:lang w:val="en-US"/>
        </w:rPr>
      </w:pPr>
      <w:r>
        <w:rPr>
          <w:rFonts w:ascii="Arial" w:hAnsi="Arial" w:cs="Arial"/>
          <w:noProof/>
          <w:sz w:val="18"/>
          <w:szCs w:val="18"/>
          <w:lang w:val="sk-SK"/>
        </w:rPr>
        <w:drawing>
          <wp:anchor distT="0" distB="0" distL="114300" distR="114300" simplePos="0" relativeHeight="251680768" behindDoc="1" locked="0" layoutInCell="1" allowOverlap="1" wp14:anchorId="56A5AC19" wp14:editId="28B7E244">
            <wp:simplePos x="0" y="0"/>
            <wp:positionH relativeFrom="column">
              <wp:posOffset>326390</wp:posOffset>
            </wp:positionH>
            <wp:positionV relativeFrom="paragraph">
              <wp:posOffset>10160</wp:posOffset>
            </wp:positionV>
            <wp:extent cx="5569585" cy="4857115"/>
            <wp:effectExtent l="0" t="0" r="0" b="635"/>
            <wp:wrapTight wrapText="bothSides">
              <wp:wrapPolygon edited="0">
                <wp:start x="0" y="0"/>
                <wp:lineTo x="0" y="21518"/>
                <wp:lineTo x="21499" y="21518"/>
                <wp:lineTo x="2149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9585" cy="4857115"/>
                    </a:xfrm>
                    <a:prstGeom prst="rect">
                      <a:avLst/>
                    </a:prstGeom>
                    <a:noFill/>
                  </pic:spPr>
                </pic:pic>
              </a:graphicData>
            </a:graphic>
            <wp14:sizeRelH relativeFrom="margin">
              <wp14:pctWidth>0</wp14:pctWidth>
            </wp14:sizeRelH>
            <wp14:sizeRelV relativeFrom="margin">
              <wp14:pctHeight>0</wp14:pctHeight>
            </wp14:sizeRelV>
          </wp:anchor>
        </w:drawing>
      </w:r>
      <w:r w:rsidR="00F90D59" w:rsidRPr="00FE73E4">
        <w:rPr>
          <w:rFonts w:ascii="Arial" w:hAnsi="Arial" w:cs="Arial"/>
          <w:b/>
          <w:sz w:val="18"/>
          <w:szCs w:val="18"/>
          <w:lang w:val="en-US"/>
        </w:rPr>
        <w:t xml:space="preserve">                  </w:t>
      </w:r>
    </w:p>
    <w:p w14:paraId="31747B92" w14:textId="6955F38A" w:rsidR="009D1BD0" w:rsidRPr="00FE73E4" w:rsidRDefault="009D1BD0" w:rsidP="009D1BD0">
      <w:pPr>
        <w:jc w:val="both"/>
        <w:rPr>
          <w:rFonts w:ascii="Arial" w:hAnsi="Arial" w:cs="Arial"/>
          <w:sz w:val="18"/>
          <w:szCs w:val="18"/>
          <w:lang w:val="en-US"/>
        </w:rPr>
      </w:pPr>
    </w:p>
    <w:p w14:paraId="5434241A" w14:textId="5057F44D" w:rsidR="002914A2" w:rsidRPr="00FE73E4" w:rsidRDefault="002914A2" w:rsidP="009D1BD0">
      <w:pPr>
        <w:jc w:val="both"/>
        <w:rPr>
          <w:rFonts w:ascii="Arial" w:hAnsi="Arial" w:cs="Arial"/>
          <w:sz w:val="18"/>
          <w:szCs w:val="18"/>
          <w:lang w:val="en-US"/>
        </w:rPr>
      </w:pPr>
    </w:p>
    <w:p w14:paraId="39CA11FF" w14:textId="77777777" w:rsidR="002D6EE1" w:rsidRDefault="002D6EE1" w:rsidP="00A91AC1">
      <w:pPr>
        <w:jc w:val="both"/>
        <w:rPr>
          <w:rFonts w:ascii="Arial" w:hAnsi="Arial" w:cs="Arial"/>
          <w:sz w:val="18"/>
          <w:szCs w:val="18"/>
          <w:lang w:val="en-US"/>
        </w:rPr>
      </w:pPr>
    </w:p>
    <w:p w14:paraId="4EAA9E35" w14:textId="77777777" w:rsidR="002D6EE1" w:rsidRDefault="002D6EE1" w:rsidP="00A91AC1">
      <w:pPr>
        <w:jc w:val="both"/>
        <w:rPr>
          <w:rFonts w:ascii="Arial" w:hAnsi="Arial" w:cs="Arial"/>
          <w:sz w:val="18"/>
          <w:szCs w:val="18"/>
          <w:lang w:val="en-US"/>
        </w:rPr>
      </w:pPr>
    </w:p>
    <w:p w14:paraId="2470567D" w14:textId="77777777" w:rsidR="002D6EE1" w:rsidRDefault="002D6EE1" w:rsidP="00A91AC1">
      <w:pPr>
        <w:jc w:val="both"/>
        <w:rPr>
          <w:rFonts w:ascii="Arial" w:hAnsi="Arial" w:cs="Arial"/>
          <w:sz w:val="18"/>
          <w:szCs w:val="18"/>
          <w:lang w:val="en-US"/>
        </w:rPr>
      </w:pPr>
    </w:p>
    <w:p w14:paraId="47355452" w14:textId="12443290" w:rsidR="002D6EE1" w:rsidRDefault="002D6EE1" w:rsidP="002D6EE1">
      <w:pPr>
        <w:jc w:val="center"/>
        <w:rPr>
          <w:rFonts w:ascii="Arial" w:hAnsi="Arial" w:cs="Arial"/>
          <w:sz w:val="18"/>
          <w:szCs w:val="18"/>
          <w:lang w:val="en-US"/>
        </w:rPr>
      </w:pPr>
    </w:p>
    <w:p w14:paraId="3DD94DFD" w14:textId="0E33AB66" w:rsidR="00A06AB2" w:rsidRDefault="00A06AB2" w:rsidP="002D6EE1">
      <w:pPr>
        <w:jc w:val="center"/>
        <w:rPr>
          <w:rFonts w:ascii="Arial" w:hAnsi="Arial" w:cs="Arial"/>
          <w:sz w:val="18"/>
          <w:szCs w:val="18"/>
          <w:lang w:val="en-US"/>
        </w:rPr>
      </w:pPr>
    </w:p>
    <w:p w14:paraId="0BDB0063" w14:textId="6F445746" w:rsidR="005D4B2B" w:rsidRDefault="005D4B2B" w:rsidP="002D6EE1">
      <w:pPr>
        <w:jc w:val="center"/>
        <w:rPr>
          <w:rFonts w:ascii="Arial" w:hAnsi="Arial" w:cs="Arial"/>
          <w:sz w:val="18"/>
          <w:szCs w:val="18"/>
          <w:lang w:val="en-US"/>
        </w:rPr>
      </w:pPr>
    </w:p>
    <w:p w14:paraId="5CFB2017" w14:textId="3B7AD86E" w:rsidR="005D4B2B" w:rsidRDefault="005D4B2B" w:rsidP="002D6EE1">
      <w:pPr>
        <w:jc w:val="center"/>
        <w:rPr>
          <w:rFonts w:ascii="Arial" w:hAnsi="Arial" w:cs="Arial"/>
          <w:sz w:val="18"/>
          <w:szCs w:val="18"/>
          <w:lang w:val="en-US"/>
        </w:rPr>
      </w:pPr>
    </w:p>
    <w:p w14:paraId="72CDCC99" w14:textId="5FEA27D0" w:rsidR="005D4B2B" w:rsidRDefault="005D4B2B" w:rsidP="002D6EE1">
      <w:pPr>
        <w:jc w:val="center"/>
        <w:rPr>
          <w:rFonts w:ascii="Arial" w:hAnsi="Arial" w:cs="Arial"/>
          <w:sz w:val="18"/>
          <w:szCs w:val="18"/>
          <w:lang w:val="en-US"/>
        </w:rPr>
      </w:pPr>
    </w:p>
    <w:p w14:paraId="44E04AA4" w14:textId="09C39E2A" w:rsidR="0057496E" w:rsidRDefault="0057496E" w:rsidP="002D6EE1">
      <w:pPr>
        <w:jc w:val="center"/>
        <w:rPr>
          <w:rFonts w:ascii="Arial" w:hAnsi="Arial" w:cs="Arial"/>
          <w:sz w:val="18"/>
          <w:szCs w:val="18"/>
          <w:lang w:val="en-US"/>
        </w:rPr>
      </w:pPr>
      <w:r>
        <w:rPr>
          <w:noProof/>
        </w:rPr>
        <w:lastRenderedPageBreak/>
        <w:drawing>
          <wp:inline distT="0" distB="0" distL="0" distR="0" wp14:anchorId="71F888E1" wp14:editId="5C066B6C">
            <wp:extent cx="4946400" cy="3528999"/>
            <wp:effectExtent l="0" t="0" r="6985" b="14605"/>
            <wp:docPr id="1" name="Chart 1">
              <a:extLst xmlns:a="http://schemas.openxmlformats.org/drawingml/2006/main">
                <a:ext uri="{FF2B5EF4-FFF2-40B4-BE49-F238E27FC236}">
                  <a16:creationId xmlns:a16="http://schemas.microsoft.com/office/drawing/2014/main" id="{9856E57B-2700-4791-9EB4-6B20E61942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D988F6" w14:textId="4D6C1422" w:rsidR="00897A4F" w:rsidRDefault="00897A4F" w:rsidP="002D6EE1">
      <w:pPr>
        <w:jc w:val="center"/>
        <w:rPr>
          <w:rFonts w:ascii="Arial" w:hAnsi="Arial" w:cs="Arial"/>
          <w:sz w:val="18"/>
          <w:szCs w:val="18"/>
          <w:lang w:val="en-US"/>
        </w:rPr>
      </w:pPr>
    </w:p>
    <w:p w14:paraId="464D3BCF" w14:textId="77777777" w:rsidR="001F18D5" w:rsidRDefault="001F18D5" w:rsidP="002D6EE1">
      <w:pPr>
        <w:jc w:val="center"/>
        <w:rPr>
          <w:rFonts w:ascii="Arial" w:hAnsi="Arial" w:cs="Arial"/>
          <w:sz w:val="18"/>
          <w:szCs w:val="18"/>
          <w:lang w:val="en-US"/>
        </w:rPr>
      </w:pPr>
    </w:p>
    <w:p w14:paraId="2383AFD7" w14:textId="77777777" w:rsidR="002D6EE1" w:rsidRDefault="002D6EE1" w:rsidP="00A91AC1">
      <w:pPr>
        <w:jc w:val="both"/>
        <w:rPr>
          <w:rFonts w:ascii="Arial" w:hAnsi="Arial" w:cs="Arial"/>
          <w:sz w:val="18"/>
          <w:szCs w:val="18"/>
          <w:lang w:val="en-US"/>
        </w:rPr>
      </w:pPr>
    </w:p>
    <w:p w14:paraId="25CB92E1" w14:textId="75C411C3" w:rsidR="007A379D" w:rsidRPr="001F18D5" w:rsidRDefault="00337C46" w:rsidP="001F18D5">
      <w:pPr>
        <w:jc w:val="both"/>
        <w:rPr>
          <w:rFonts w:ascii="Arial" w:hAnsi="Arial" w:cs="Arial"/>
          <w:bCs/>
          <w:sz w:val="18"/>
          <w:szCs w:val="18"/>
          <w:lang w:val="en-US"/>
        </w:rPr>
      </w:pPr>
      <w:bookmarkStart w:id="3" w:name="_Hlk39485617"/>
      <w:r>
        <w:rPr>
          <w:rFonts w:ascii="Arial" w:hAnsi="Arial" w:cs="Arial"/>
          <w:bCs/>
          <w:sz w:val="18"/>
          <w:szCs w:val="18"/>
          <w:lang w:val="en-US"/>
        </w:rPr>
        <w:t>I</w:t>
      </w:r>
      <w:r w:rsidR="00C51FD6" w:rsidRPr="00810F15">
        <w:rPr>
          <w:rFonts w:ascii="Arial" w:hAnsi="Arial" w:cs="Arial"/>
          <w:bCs/>
          <w:sz w:val="18"/>
          <w:szCs w:val="18"/>
          <w:lang w:val="en-US"/>
        </w:rPr>
        <w:t xml:space="preserve">n terms of </w:t>
      </w:r>
      <w:r w:rsidR="00EA4672" w:rsidRPr="00810F15">
        <w:rPr>
          <w:rFonts w:ascii="Arial" w:hAnsi="Arial" w:cs="Arial"/>
          <w:bCs/>
          <w:sz w:val="18"/>
          <w:szCs w:val="18"/>
          <w:lang w:val="en-US"/>
        </w:rPr>
        <w:t xml:space="preserve">the </w:t>
      </w:r>
      <w:r w:rsidR="00C51FD6" w:rsidRPr="00810F15">
        <w:rPr>
          <w:rFonts w:ascii="Arial" w:hAnsi="Arial" w:cs="Arial"/>
          <w:bCs/>
          <w:sz w:val="18"/>
          <w:szCs w:val="18"/>
          <w:lang w:val="en-US"/>
        </w:rPr>
        <w:t>ownership structure,</w:t>
      </w:r>
      <w:r w:rsidRPr="00337C46">
        <w:rPr>
          <w:rFonts w:ascii="Arial" w:hAnsi="Arial" w:cs="Arial"/>
          <w:bCs/>
          <w:sz w:val="18"/>
          <w:szCs w:val="18"/>
          <w:lang w:val="en-US"/>
        </w:rPr>
        <w:t xml:space="preserve"> </w:t>
      </w:r>
      <w:r>
        <w:rPr>
          <w:rFonts w:ascii="Arial" w:hAnsi="Arial" w:cs="Arial"/>
          <w:bCs/>
          <w:sz w:val="18"/>
          <w:szCs w:val="18"/>
          <w:lang w:val="en-US"/>
        </w:rPr>
        <w:t xml:space="preserve">similarly to the previous quarter, </w:t>
      </w:r>
      <w:r w:rsidR="00C51FD6" w:rsidRPr="00810F15">
        <w:rPr>
          <w:rFonts w:ascii="Arial" w:hAnsi="Arial" w:cs="Arial"/>
          <w:bCs/>
          <w:sz w:val="18"/>
          <w:szCs w:val="18"/>
          <w:lang w:val="en-US"/>
        </w:rPr>
        <w:t>approximately 4% of the office stock is state-owned, 1</w:t>
      </w:r>
      <w:r w:rsidR="006F6B6F">
        <w:rPr>
          <w:rFonts w:ascii="Arial" w:hAnsi="Arial" w:cs="Arial"/>
          <w:bCs/>
          <w:sz w:val="18"/>
          <w:szCs w:val="18"/>
          <w:lang w:val="en-US"/>
        </w:rPr>
        <w:t>2</w:t>
      </w:r>
      <w:r w:rsidR="00C51FD6" w:rsidRPr="00810F15">
        <w:rPr>
          <w:rFonts w:ascii="Arial" w:hAnsi="Arial" w:cs="Arial"/>
          <w:bCs/>
          <w:sz w:val="18"/>
          <w:szCs w:val="18"/>
          <w:lang w:val="en-US"/>
        </w:rPr>
        <w:t>% are buildings owned and fully occupied by the same entity, and the total stock for commercial use remains at 8</w:t>
      </w:r>
      <w:r w:rsidR="006F6B6F">
        <w:rPr>
          <w:rFonts w:ascii="Arial" w:hAnsi="Arial" w:cs="Arial"/>
          <w:bCs/>
          <w:sz w:val="18"/>
          <w:szCs w:val="18"/>
          <w:lang w:val="en-US"/>
        </w:rPr>
        <w:t>4</w:t>
      </w:r>
      <w:r w:rsidR="00C51FD6" w:rsidRPr="00810F15">
        <w:rPr>
          <w:rFonts w:ascii="Arial" w:hAnsi="Arial" w:cs="Arial"/>
          <w:bCs/>
          <w:sz w:val="18"/>
          <w:szCs w:val="18"/>
          <w:lang w:val="en-US"/>
        </w:rPr>
        <w:t>% (or around 1.6</w:t>
      </w:r>
      <w:r w:rsidR="00854223">
        <w:rPr>
          <w:rFonts w:ascii="Arial" w:hAnsi="Arial" w:cs="Arial"/>
          <w:bCs/>
          <w:sz w:val="18"/>
          <w:szCs w:val="18"/>
          <w:lang w:val="en-US"/>
        </w:rPr>
        <w:t>8</w:t>
      </w:r>
      <w:r w:rsidR="00C51FD6" w:rsidRPr="00810F15">
        <w:rPr>
          <w:rFonts w:ascii="Arial" w:hAnsi="Arial" w:cs="Arial"/>
          <w:bCs/>
          <w:sz w:val="18"/>
          <w:szCs w:val="18"/>
          <w:lang w:val="en-US"/>
        </w:rPr>
        <w:t xml:space="preserve"> million sq m) of total modern office stock in Bratislava.</w:t>
      </w:r>
      <w:bookmarkEnd w:id="3"/>
    </w:p>
    <w:p w14:paraId="20A23478" w14:textId="77777777" w:rsidR="00897A4F" w:rsidRDefault="00897A4F" w:rsidP="00A61BA1">
      <w:pPr>
        <w:jc w:val="center"/>
        <w:rPr>
          <w:rFonts w:ascii="Arial" w:hAnsi="Arial" w:cs="Arial"/>
          <w:sz w:val="18"/>
          <w:szCs w:val="18"/>
          <w:lang w:val="en-US"/>
        </w:rPr>
      </w:pPr>
    </w:p>
    <w:p w14:paraId="59FEF515" w14:textId="52B2DFEA" w:rsidR="0058699A" w:rsidRPr="00FE73E4" w:rsidRDefault="0058699A" w:rsidP="00A61BA1">
      <w:pPr>
        <w:jc w:val="center"/>
        <w:rPr>
          <w:rFonts w:ascii="Arial" w:hAnsi="Arial" w:cs="Arial"/>
          <w:sz w:val="18"/>
          <w:szCs w:val="18"/>
          <w:lang w:val="en-US"/>
        </w:rPr>
      </w:pPr>
      <w:r>
        <w:rPr>
          <w:noProof/>
        </w:rPr>
        <w:drawing>
          <wp:inline distT="0" distB="0" distL="0" distR="0" wp14:anchorId="33450454" wp14:editId="1C65123D">
            <wp:extent cx="4860000" cy="2952000"/>
            <wp:effectExtent l="0" t="0" r="17145" b="1270"/>
            <wp:docPr id="17" name="Chart 17">
              <a:extLst xmlns:a="http://schemas.openxmlformats.org/drawingml/2006/main">
                <a:ext uri="{FF2B5EF4-FFF2-40B4-BE49-F238E27FC236}">
                  <a16:creationId xmlns:a16="http://schemas.microsoft.com/office/drawing/2014/main" id="{6A38CC8B-E0A0-4944-8A82-8922C08F91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B533C9" w14:textId="77777777" w:rsidR="00704AB7" w:rsidRDefault="00704AB7" w:rsidP="00A91AC1">
      <w:pPr>
        <w:jc w:val="both"/>
        <w:rPr>
          <w:rFonts w:ascii="Arial" w:hAnsi="Arial" w:cs="Arial"/>
          <w:b/>
          <w:lang w:val="en-US"/>
        </w:rPr>
      </w:pPr>
    </w:p>
    <w:p w14:paraId="0BE5ADDF" w14:textId="77777777" w:rsidR="00510F58" w:rsidRDefault="00510F58" w:rsidP="00A91AC1">
      <w:pPr>
        <w:jc w:val="both"/>
        <w:rPr>
          <w:rFonts w:ascii="Arial" w:hAnsi="Arial" w:cs="Arial"/>
          <w:b/>
          <w:lang w:val="en-US"/>
        </w:rPr>
      </w:pPr>
    </w:p>
    <w:p w14:paraId="016859F6" w14:textId="531FF422" w:rsidR="00A91AC1" w:rsidRPr="00FE73E4" w:rsidRDefault="00A91AC1" w:rsidP="00A91AC1">
      <w:pPr>
        <w:jc w:val="both"/>
        <w:rPr>
          <w:rFonts w:ascii="Arial" w:hAnsi="Arial" w:cs="Arial"/>
          <w:b/>
          <w:lang w:val="en-US"/>
        </w:rPr>
      </w:pPr>
      <w:r w:rsidRPr="00FE73E4">
        <w:rPr>
          <w:rFonts w:ascii="Arial" w:hAnsi="Arial" w:cs="Arial"/>
          <w:b/>
          <w:lang w:val="en-US"/>
        </w:rPr>
        <w:t>Green Certified Buildings</w:t>
      </w:r>
    </w:p>
    <w:p w14:paraId="1B4FF342" w14:textId="77777777" w:rsidR="00A91AC1" w:rsidRPr="00FE73E4" w:rsidRDefault="00A91AC1" w:rsidP="00A91AC1">
      <w:pPr>
        <w:jc w:val="both"/>
        <w:rPr>
          <w:rFonts w:ascii="Arial" w:hAnsi="Arial" w:cs="Arial"/>
          <w:sz w:val="18"/>
          <w:szCs w:val="18"/>
          <w:lang w:val="en-US"/>
        </w:rPr>
      </w:pPr>
    </w:p>
    <w:p w14:paraId="6533E9FE" w14:textId="0ACB9EDD" w:rsidR="00A91AC1" w:rsidRPr="00FE73E4" w:rsidRDefault="00AD2EE1" w:rsidP="00A91AC1">
      <w:pPr>
        <w:jc w:val="both"/>
        <w:rPr>
          <w:rFonts w:ascii="Arial" w:hAnsi="Arial" w:cs="Arial"/>
          <w:sz w:val="18"/>
          <w:szCs w:val="18"/>
          <w:lang w:val="en-US"/>
        </w:rPr>
      </w:pPr>
      <w:r w:rsidRPr="002915F5">
        <w:rPr>
          <w:rFonts w:ascii="Arial" w:hAnsi="Arial" w:cs="Arial"/>
          <w:sz w:val="18"/>
          <w:szCs w:val="18"/>
          <w:lang w:val="en-US"/>
        </w:rPr>
        <w:t xml:space="preserve">In total, </w:t>
      </w:r>
      <w:r w:rsidR="00D34546" w:rsidRPr="002915F5">
        <w:rPr>
          <w:rFonts w:ascii="Arial" w:hAnsi="Arial" w:cs="Arial"/>
          <w:sz w:val="18"/>
          <w:szCs w:val="18"/>
          <w:lang w:val="en-US"/>
        </w:rPr>
        <w:t xml:space="preserve">Bratislava offers </w:t>
      </w:r>
      <w:r w:rsidR="00DF29E8">
        <w:rPr>
          <w:rFonts w:ascii="Arial" w:hAnsi="Arial" w:cs="Arial"/>
          <w:sz w:val="18"/>
          <w:szCs w:val="18"/>
          <w:lang w:val="en-US"/>
        </w:rPr>
        <w:t>almost</w:t>
      </w:r>
      <w:r w:rsidRPr="002915F5">
        <w:rPr>
          <w:rFonts w:ascii="Arial" w:hAnsi="Arial" w:cs="Arial"/>
          <w:sz w:val="18"/>
          <w:szCs w:val="18"/>
          <w:lang w:val="en-US"/>
        </w:rPr>
        <w:t xml:space="preserve"> 6</w:t>
      </w:r>
      <w:r w:rsidR="000C522F">
        <w:rPr>
          <w:rFonts w:ascii="Arial" w:hAnsi="Arial" w:cs="Arial"/>
          <w:sz w:val="18"/>
          <w:szCs w:val="18"/>
          <w:lang w:val="en-US"/>
        </w:rPr>
        <w:t>45</w:t>
      </w:r>
      <w:r w:rsidRPr="002915F5">
        <w:rPr>
          <w:rFonts w:ascii="Arial" w:hAnsi="Arial" w:cs="Arial"/>
          <w:sz w:val="18"/>
          <w:szCs w:val="18"/>
          <w:lang w:val="en-US"/>
        </w:rPr>
        <w:t>,</w:t>
      </w:r>
      <w:r w:rsidR="000C522F">
        <w:rPr>
          <w:rFonts w:ascii="Arial" w:hAnsi="Arial" w:cs="Arial"/>
          <w:sz w:val="18"/>
          <w:szCs w:val="18"/>
          <w:lang w:val="en-US"/>
        </w:rPr>
        <w:t>3</w:t>
      </w:r>
      <w:r w:rsidR="00DF29E8">
        <w:rPr>
          <w:rFonts w:ascii="Arial" w:hAnsi="Arial" w:cs="Arial"/>
          <w:sz w:val="18"/>
          <w:szCs w:val="18"/>
          <w:lang w:val="en-US"/>
        </w:rPr>
        <w:t>00</w:t>
      </w:r>
      <w:r w:rsidRPr="002915F5">
        <w:rPr>
          <w:rFonts w:ascii="Arial" w:hAnsi="Arial" w:cs="Arial"/>
          <w:sz w:val="18"/>
          <w:szCs w:val="18"/>
          <w:lang w:val="en-US"/>
        </w:rPr>
        <w:t xml:space="preserve"> sqm of office space with a valid green / sustainable building certificate. This is 3</w:t>
      </w:r>
      <w:r w:rsidR="00134D2A">
        <w:rPr>
          <w:rFonts w:ascii="Arial" w:hAnsi="Arial" w:cs="Arial"/>
          <w:sz w:val="18"/>
          <w:szCs w:val="18"/>
          <w:lang w:val="en-US"/>
        </w:rPr>
        <w:t>2</w:t>
      </w:r>
      <w:r w:rsidRPr="002915F5">
        <w:rPr>
          <w:rFonts w:ascii="Arial" w:hAnsi="Arial" w:cs="Arial"/>
          <w:sz w:val="18"/>
          <w:szCs w:val="18"/>
          <w:lang w:val="en-US"/>
        </w:rPr>
        <w:t>% of the total volume of office space in Bratislava, or 3</w:t>
      </w:r>
      <w:r w:rsidR="00134D2A">
        <w:rPr>
          <w:rFonts w:ascii="Arial" w:hAnsi="Arial" w:cs="Arial"/>
          <w:sz w:val="18"/>
          <w:szCs w:val="18"/>
          <w:lang w:val="en-US"/>
        </w:rPr>
        <w:t>7</w:t>
      </w:r>
      <w:r w:rsidRPr="002915F5">
        <w:rPr>
          <w:rFonts w:ascii="Arial" w:hAnsi="Arial" w:cs="Arial"/>
          <w:sz w:val="18"/>
          <w:szCs w:val="18"/>
          <w:lang w:val="en-US"/>
        </w:rPr>
        <w:t xml:space="preserve"> out of 29</w:t>
      </w:r>
      <w:r w:rsidR="00F37E89">
        <w:rPr>
          <w:rFonts w:ascii="Arial" w:hAnsi="Arial" w:cs="Arial"/>
          <w:sz w:val="18"/>
          <w:szCs w:val="18"/>
          <w:lang w:val="en-US"/>
        </w:rPr>
        <w:t>9</w:t>
      </w:r>
      <w:r w:rsidRPr="002915F5">
        <w:rPr>
          <w:rFonts w:ascii="Arial" w:hAnsi="Arial" w:cs="Arial"/>
          <w:sz w:val="18"/>
          <w:szCs w:val="18"/>
          <w:lang w:val="en-US"/>
        </w:rPr>
        <w:t xml:space="preserve"> buildings. 6</w:t>
      </w:r>
      <w:r w:rsidR="00410A9F">
        <w:rPr>
          <w:rFonts w:ascii="Arial" w:hAnsi="Arial" w:cs="Arial"/>
          <w:sz w:val="18"/>
          <w:szCs w:val="18"/>
          <w:lang w:val="en-US"/>
        </w:rPr>
        <w:t>3</w:t>
      </w:r>
      <w:r w:rsidRPr="002915F5">
        <w:rPr>
          <w:rFonts w:ascii="Arial" w:hAnsi="Arial" w:cs="Arial"/>
          <w:sz w:val="18"/>
          <w:szCs w:val="18"/>
          <w:lang w:val="en-US"/>
        </w:rPr>
        <w:t xml:space="preserve">% of the certified stock has BREEAM, </w:t>
      </w:r>
      <w:r w:rsidR="00DF29E8">
        <w:rPr>
          <w:rFonts w:ascii="Arial" w:hAnsi="Arial" w:cs="Arial"/>
          <w:sz w:val="18"/>
          <w:szCs w:val="18"/>
          <w:lang w:val="en-US"/>
        </w:rPr>
        <w:t>5</w:t>
      </w:r>
      <w:r w:rsidRPr="002915F5">
        <w:rPr>
          <w:rFonts w:ascii="Arial" w:hAnsi="Arial" w:cs="Arial"/>
          <w:sz w:val="18"/>
          <w:szCs w:val="18"/>
          <w:lang w:val="en-US"/>
        </w:rPr>
        <w:t xml:space="preserve">% </w:t>
      </w:r>
      <w:r w:rsidR="00704AB7">
        <w:rPr>
          <w:rFonts w:ascii="Arial" w:hAnsi="Arial" w:cs="Arial"/>
          <w:sz w:val="18"/>
          <w:szCs w:val="18"/>
          <w:lang w:val="en-US"/>
        </w:rPr>
        <w:t xml:space="preserve">combination of </w:t>
      </w:r>
      <w:r w:rsidRPr="002915F5">
        <w:rPr>
          <w:rFonts w:ascii="Arial" w:hAnsi="Arial" w:cs="Arial"/>
          <w:sz w:val="18"/>
          <w:szCs w:val="18"/>
          <w:lang w:val="en-US"/>
        </w:rPr>
        <w:t>BREEAM / WELL GOLD and 3</w:t>
      </w:r>
      <w:r w:rsidR="00202781">
        <w:rPr>
          <w:rFonts w:ascii="Arial" w:hAnsi="Arial" w:cs="Arial"/>
          <w:sz w:val="18"/>
          <w:szCs w:val="18"/>
          <w:lang w:val="en-US"/>
        </w:rPr>
        <w:t xml:space="preserve">2 </w:t>
      </w:r>
      <w:r w:rsidRPr="002915F5">
        <w:rPr>
          <w:rFonts w:ascii="Arial" w:hAnsi="Arial" w:cs="Arial"/>
          <w:sz w:val="18"/>
          <w:szCs w:val="18"/>
          <w:lang w:val="en-US"/>
        </w:rPr>
        <w:t xml:space="preserve">% LEED certificate. Only the Twin City Tower has the highest BREEAM Outstanding rating, and in the case of LEED Platinum, the Digital Park buildings and Ein Park Offices are </w:t>
      </w:r>
      <w:r w:rsidR="00D34546" w:rsidRPr="002915F5">
        <w:rPr>
          <w:rFonts w:ascii="Arial" w:hAnsi="Arial" w:cs="Arial"/>
          <w:sz w:val="18"/>
          <w:szCs w:val="18"/>
          <w:lang w:val="en-US"/>
        </w:rPr>
        <w:t>its</w:t>
      </w:r>
      <w:r w:rsidRPr="002915F5">
        <w:rPr>
          <w:rFonts w:ascii="Arial" w:hAnsi="Arial" w:cs="Arial"/>
          <w:sz w:val="18"/>
          <w:szCs w:val="18"/>
          <w:lang w:val="en-US"/>
        </w:rPr>
        <w:t xml:space="preserve"> only current holders. </w:t>
      </w:r>
    </w:p>
    <w:p w14:paraId="13A49167" w14:textId="77777777" w:rsidR="00A91AC1" w:rsidRPr="00FE73E4" w:rsidRDefault="00A91AC1" w:rsidP="00A91AC1">
      <w:pPr>
        <w:jc w:val="both"/>
        <w:rPr>
          <w:rFonts w:ascii="Arial" w:hAnsi="Arial" w:cs="Arial"/>
          <w:sz w:val="18"/>
          <w:szCs w:val="18"/>
          <w:lang w:val="en-US"/>
        </w:rPr>
      </w:pPr>
    </w:p>
    <w:p w14:paraId="3EEF9ED9" w14:textId="77777777" w:rsidR="00704AB7" w:rsidRDefault="00704AB7">
      <w:pPr>
        <w:rPr>
          <w:rFonts w:ascii="Arial" w:hAnsi="Arial" w:cs="Arial"/>
          <w:b/>
          <w:bCs/>
          <w:lang w:val="en-US"/>
        </w:rPr>
      </w:pPr>
      <w:r>
        <w:rPr>
          <w:rFonts w:ascii="Arial" w:hAnsi="Arial" w:cs="Arial"/>
          <w:b/>
          <w:bCs/>
          <w:lang w:val="en-US"/>
        </w:rPr>
        <w:br w:type="page"/>
      </w:r>
    </w:p>
    <w:p w14:paraId="3AB68160" w14:textId="470C5397" w:rsidR="00A91AC1" w:rsidRPr="00FE73E4" w:rsidRDefault="00A91AC1" w:rsidP="00A91AC1">
      <w:pPr>
        <w:jc w:val="both"/>
        <w:outlineLvl w:val="0"/>
        <w:rPr>
          <w:rFonts w:ascii="Arial" w:hAnsi="Arial" w:cs="Arial"/>
          <w:b/>
          <w:bCs/>
          <w:lang w:val="en-US"/>
        </w:rPr>
      </w:pPr>
      <w:r w:rsidRPr="00FE73E4">
        <w:rPr>
          <w:rFonts w:ascii="Arial" w:hAnsi="Arial" w:cs="Arial"/>
          <w:b/>
          <w:bCs/>
          <w:lang w:val="en-US"/>
        </w:rPr>
        <w:lastRenderedPageBreak/>
        <w:t>Office Market Transactions (Take-Up)</w:t>
      </w:r>
    </w:p>
    <w:p w14:paraId="068E0869" w14:textId="77777777" w:rsidR="00A91AC1" w:rsidRPr="00FE73E4" w:rsidRDefault="00A91AC1" w:rsidP="00A91AC1">
      <w:pPr>
        <w:jc w:val="both"/>
        <w:outlineLvl w:val="0"/>
        <w:rPr>
          <w:rFonts w:ascii="Arial" w:hAnsi="Arial" w:cs="Arial"/>
          <w:b/>
          <w:bCs/>
          <w:lang w:val="en-US"/>
        </w:rPr>
      </w:pPr>
    </w:p>
    <w:p w14:paraId="44091465" w14:textId="5C0314DC" w:rsidR="00C34D74" w:rsidRDefault="00044C40" w:rsidP="001F18D5">
      <w:pPr>
        <w:spacing w:after="120"/>
        <w:jc w:val="both"/>
        <w:rPr>
          <w:rFonts w:ascii="Arial" w:hAnsi="Arial" w:cs="Arial"/>
          <w:sz w:val="18"/>
          <w:szCs w:val="18"/>
          <w:lang w:val="en-US" w:eastAsia="cs-CZ"/>
        </w:rPr>
      </w:pPr>
      <w:r w:rsidRPr="00044C40">
        <w:rPr>
          <w:rFonts w:ascii="Arial" w:hAnsi="Arial" w:cs="Arial"/>
          <w:sz w:val="18"/>
          <w:szCs w:val="18"/>
          <w:lang w:val="en-US" w:eastAsia="cs-CZ"/>
        </w:rPr>
        <w:t xml:space="preserve">Lease transactions in the </w:t>
      </w:r>
      <w:r w:rsidR="00DA0DF4">
        <w:rPr>
          <w:rFonts w:ascii="Arial" w:hAnsi="Arial" w:cs="Arial"/>
          <w:sz w:val="18"/>
          <w:szCs w:val="18"/>
          <w:lang w:val="en-US" w:eastAsia="cs-CZ"/>
        </w:rPr>
        <w:t>first</w:t>
      </w:r>
      <w:r w:rsidRPr="00044C40">
        <w:rPr>
          <w:rFonts w:ascii="Arial" w:hAnsi="Arial" w:cs="Arial"/>
          <w:sz w:val="18"/>
          <w:szCs w:val="18"/>
          <w:lang w:val="en-US" w:eastAsia="cs-CZ"/>
        </w:rPr>
        <w:t xml:space="preserve"> quarter of 202</w:t>
      </w:r>
      <w:r w:rsidR="00DA0DF4">
        <w:rPr>
          <w:rFonts w:ascii="Arial" w:hAnsi="Arial" w:cs="Arial"/>
          <w:sz w:val="18"/>
          <w:szCs w:val="18"/>
          <w:lang w:val="en-US" w:eastAsia="cs-CZ"/>
        </w:rPr>
        <w:t>2</w:t>
      </w:r>
      <w:r w:rsidRPr="00044C40">
        <w:rPr>
          <w:rFonts w:ascii="Arial" w:hAnsi="Arial" w:cs="Arial"/>
          <w:sz w:val="18"/>
          <w:szCs w:val="18"/>
          <w:lang w:val="en-US" w:eastAsia="cs-CZ"/>
        </w:rPr>
        <w:t xml:space="preserve"> reached a total area of approx.</w:t>
      </w:r>
      <w:r w:rsidR="00ED2159">
        <w:rPr>
          <w:rFonts w:ascii="Arial" w:hAnsi="Arial" w:cs="Arial"/>
          <w:sz w:val="18"/>
          <w:szCs w:val="18"/>
          <w:lang w:val="en-US" w:eastAsia="cs-CZ"/>
        </w:rPr>
        <w:t xml:space="preserve"> </w:t>
      </w:r>
      <w:r w:rsidR="00583826">
        <w:rPr>
          <w:rFonts w:ascii="Arial" w:hAnsi="Arial" w:cs="Arial"/>
          <w:b/>
          <w:bCs/>
          <w:sz w:val="18"/>
          <w:szCs w:val="18"/>
          <w:lang w:val="en-US" w:eastAsia="cs-CZ"/>
        </w:rPr>
        <w:t>42</w:t>
      </w:r>
      <w:r w:rsidR="00093955">
        <w:rPr>
          <w:rFonts w:ascii="Arial" w:hAnsi="Arial" w:cs="Arial"/>
          <w:b/>
          <w:bCs/>
          <w:sz w:val="18"/>
          <w:szCs w:val="18"/>
          <w:lang w:val="en-US" w:eastAsia="cs-CZ"/>
        </w:rPr>
        <w:t>,</w:t>
      </w:r>
      <w:r w:rsidR="00583826">
        <w:rPr>
          <w:rFonts w:ascii="Arial" w:hAnsi="Arial" w:cs="Arial"/>
          <w:b/>
          <w:bCs/>
          <w:sz w:val="18"/>
          <w:szCs w:val="18"/>
          <w:lang w:val="en-US" w:eastAsia="cs-CZ"/>
        </w:rPr>
        <w:t>9</w:t>
      </w:r>
      <w:r w:rsidR="00093955">
        <w:rPr>
          <w:rFonts w:ascii="Arial" w:hAnsi="Arial" w:cs="Arial"/>
          <w:b/>
          <w:bCs/>
          <w:sz w:val="18"/>
          <w:szCs w:val="18"/>
          <w:lang w:val="en-US" w:eastAsia="cs-CZ"/>
        </w:rPr>
        <w:t>00</w:t>
      </w:r>
      <w:r w:rsidRPr="00044C40">
        <w:rPr>
          <w:rFonts w:ascii="Arial" w:hAnsi="Arial" w:cs="Arial"/>
          <w:b/>
          <w:bCs/>
          <w:sz w:val="18"/>
          <w:szCs w:val="18"/>
          <w:lang w:val="en-US" w:eastAsia="cs-CZ"/>
        </w:rPr>
        <w:t xml:space="preserve"> sqm</w:t>
      </w:r>
      <w:r w:rsidRPr="00044C40">
        <w:rPr>
          <w:rFonts w:ascii="Arial" w:hAnsi="Arial" w:cs="Arial"/>
          <w:sz w:val="18"/>
          <w:szCs w:val="18"/>
          <w:lang w:val="en-US" w:eastAsia="cs-CZ"/>
        </w:rPr>
        <w:t xml:space="preserve">, which represents </w:t>
      </w:r>
      <w:r w:rsidR="00B5011B">
        <w:rPr>
          <w:rFonts w:ascii="Arial" w:hAnsi="Arial" w:cs="Arial"/>
          <w:sz w:val="18"/>
          <w:szCs w:val="18"/>
          <w:lang w:val="en-US" w:eastAsia="cs-CZ"/>
        </w:rPr>
        <w:t>56</w:t>
      </w:r>
      <w:r w:rsidRPr="00044C40">
        <w:rPr>
          <w:rFonts w:ascii="Arial" w:hAnsi="Arial" w:cs="Arial"/>
          <w:sz w:val="18"/>
          <w:szCs w:val="18"/>
          <w:lang w:val="en-US" w:eastAsia="cs-CZ"/>
        </w:rPr>
        <w:t xml:space="preserve">% </w:t>
      </w:r>
      <w:r w:rsidR="00EF58F7">
        <w:rPr>
          <w:rFonts w:ascii="Arial" w:hAnsi="Arial" w:cs="Arial"/>
          <w:sz w:val="18"/>
          <w:szCs w:val="18"/>
          <w:lang w:val="en-US" w:eastAsia="cs-CZ"/>
        </w:rPr>
        <w:t>decrease</w:t>
      </w:r>
      <w:r w:rsidRPr="00044C40">
        <w:rPr>
          <w:rFonts w:ascii="Arial" w:hAnsi="Arial" w:cs="Arial"/>
          <w:sz w:val="18"/>
          <w:szCs w:val="18"/>
          <w:lang w:val="en-US" w:eastAsia="cs-CZ"/>
        </w:rPr>
        <w:t xml:space="preserve"> in leas</w:t>
      </w:r>
      <w:r w:rsidR="00337C46">
        <w:rPr>
          <w:rFonts w:ascii="Arial" w:hAnsi="Arial" w:cs="Arial"/>
          <w:sz w:val="18"/>
          <w:szCs w:val="18"/>
          <w:lang w:val="en-US" w:eastAsia="cs-CZ"/>
        </w:rPr>
        <w:t xml:space="preserve">ing activity </w:t>
      </w:r>
      <w:r w:rsidRPr="00044C40">
        <w:rPr>
          <w:rFonts w:ascii="Arial" w:hAnsi="Arial" w:cs="Arial"/>
          <w:sz w:val="18"/>
          <w:szCs w:val="18"/>
          <w:lang w:val="en-US" w:eastAsia="cs-CZ"/>
        </w:rPr>
        <w:t xml:space="preserve">compared to the </w:t>
      </w:r>
      <w:r w:rsidR="00DF29E8">
        <w:rPr>
          <w:rFonts w:ascii="Arial" w:hAnsi="Arial" w:cs="Arial"/>
          <w:sz w:val="18"/>
          <w:szCs w:val="18"/>
          <w:lang w:val="en-US" w:eastAsia="cs-CZ"/>
        </w:rPr>
        <w:t>previous quarter</w:t>
      </w:r>
      <w:r w:rsidRPr="00044C40">
        <w:rPr>
          <w:rFonts w:ascii="Arial" w:hAnsi="Arial" w:cs="Arial"/>
          <w:sz w:val="18"/>
          <w:szCs w:val="18"/>
          <w:lang w:val="en-US" w:eastAsia="cs-CZ"/>
        </w:rPr>
        <w:t>.</w:t>
      </w:r>
      <w:r w:rsidR="00DF29E8" w:rsidRPr="00DF29E8">
        <w:t xml:space="preserve"> </w:t>
      </w:r>
      <w:r w:rsidR="00DF29E8" w:rsidRPr="00DF29E8">
        <w:rPr>
          <w:rFonts w:ascii="Arial" w:hAnsi="Arial" w:cs="Arial"/>
          <w:sz w:val="18"/>
          <w:szCs w:val="18"/>
          <w:lang w:val="en-US" w:eastAsia="cs-CZ"/>
        </w:rPr>
        <w:t xml:space="preserve">In a year-on-year comparison, the number of leased </w:t>
      </w:r>
      <w:r w:rsidR="00DF29E8">
        <w:rPr>
          <w:rFonts w:ascii="Arial" w:hAnsi="Arial" w:cs="Arial"/>
          <w:sz w:val="18"/>
          <w:szCs w:val="18"/>
          <w:lang w:val="en-US" w:eastAsia="cs-CZ"/>
        </w:rPr>
        <w:t>areas</w:t>
      </w:r>
      <w:r w:rsidR="00DF29E8" w:rsidRPr="00DF29E8">
        <w:rPr>
          <w:rFonts w:ascii="Arial" w:hAnsi="Arial" w:cs="Arial"/>
          <w:sz w:val="18"/>
          <w:szCs w:val="18"/>
          <w:lang w:val="en-US" w:eastAsia="cs-CZ"/>
        </w:rPr>
        <w:t xml:space="preserve"> </w:t>
      </w:r>
      <w:r w:rsidR="000E32E3">
        <w:rPr>
          <w:rFonts w:ascii="Arial" w:hAnsi="Arial" w:cs="Arial"/>
          <w:sz w:val="18"/>
          <w:szCs w:val="18"/>
          <w:lang w:val="en-US" w:eastAsia="cs-CZ"/>
        </w:rPr>
        <w:t>decreased</w:t>
      </w:r>
      <w:r w:rsidR="00DF29E8" w:rsidRPr="00DF29E8">
        <w:rPr>
          <w:rFonts w:ascii="Arial" w:hAnsi="Arial" w:cs="Arial"/>
          <w:sz w:val="18"/>
          <w:szCs w:val="18"/>
          <w:lang w:val="en-US" w:eastAsia="cs-CZ"/>
        </w:rPr>
        <w:t xml:space="preserve"> by </w:t>
      </w:r>
      <w:r w:rsidR="00B5011B">
        <w:rPr>
          <w:rFonts w:ascii="Arial" w:hAnsi="Arial" w:cs="Arial"/>
          <w:sz w:val="18"/>
          <w:szCs w:val="18"/>
          <w:lang w:val="en-US" w:eastAsia="cs-CZ"/>
        </w:rPr>
        <w:t>27</w:t>
      </w:r>
      <w:r w:rsidR="00DF29E8" w:rsidRPr="00DF29E8">
        <w:rPr>
          <w:rFonts w:ascii="Arial" w:hAnsi="Arial" w:cs="Arial"/>
          <w:sz w:val="18"/>
          <w:szCs w:val="18"/>
          <w:lang w:val="en-US" w:eastAsia="cs-CZ"/>
        </w:rPr>
        <w:t>%</w:t>
      </w:r>
      <w:r w:rsidR="003A5074">
        <w:rPr>
          <w:rFonts w:ascii="Arial" w:hAnsi="Arial" w:cs="Arial"/>
          <w:sz w:val="18"/>
          <w:szCs w:val="18"/>
          <w:lang w:val="en-US" w:eastAsia="cs-CZ"/>
        </w:rPr>
        <w:t xml:space="preserve">. </w:t>
      </w:r>
      <w:r w:rsidR="00DF29E8">
        <w:rPr>
          <w:rFonts w:ascii="Arial" w:hAnsi="Arial" w:cs="Arial"/>
          <w:sz w:val="18"/>
          <w:szCs w:val="18"/>
          <w:lang w:val="en-US" w:eastAsia="cs-CZ"/>
        </w:rPr>
        <w:t xml:space="preserve">New </w:t>
      </w:r>
      <w:r w:rsidR="00B03FD6">
        <w:rPr>
          <w:rFonts w:ascii="Arial" w:hAnsi="Arial" w:cs="Arial"/>
          <w:sz w:val="18"/>
          <w:szCs w:val="18"/>
          <w:lang w:val="en-US" w:eastAsia="cs-CZ"/>
        </w:rPr>
        <w:t>leases</w:t>
      </w:r>
      <w:r w:rsidR="009D27B2">
        <w:rPr>
          <w:rFonts w:ascii="Arial" w:hAnsi="Arial" w:cs="Arial"/>
          <w:sz w:val="18"/>
          <w:szCs w:val="18"/>
          <w:lang w:val="en-US" w:eastAsia="cs-CZ"/>
        </w:rPr>
        <w:t xml:space="preserve"> accounted for </w:t>
      </w:r>
      <w:r w:rsidR="00EC1F73">
        <w:rPr>
          <w:rFonts w:ascii="Arial" w:hAnsi="Arial" w:cs="Arial"/>
          <w:sz w:val="18"/>
          <w:szCs w:val="18"/>
          <w:lang w:val="en-US" w:eastAsia="cs-CZ"/>
        </w:rPr>
        <w:t>70</w:t>
      </w:r>
      <w:r w:rsidR="009D27B2">
        <w:rPr>
          <w:rFonts w:ascii="Arial" w:hAnsi="Arial" w:cs="Arial"/>
          <w:sz w:val="18"/>
          <w:szCs w:val="18"/>
          <w:lang w:val="en-US" w:eastAsia="cs-CZ"/>
        </w:rPr>
        <w:t xml:space="preserve">% of the total take up, </w:t>
      </w:r>
      <w:r w:rsidR="00B03FD6">
        <w:rPr>
          <w:rFonts w:ascii="Arial" w:hAnsi="Arial" w:cs="Arial"/>
          <w:sz w:val="18"/>
          <w:szCs w:val="18"/>
          <w:lang w:val="en-US" w:eastAsia="cs-CZ"/>
        </w:rPr>
        <w:t>renegotiations</w:t>
      </w:r>
      <w:r w:rsidR="009D27B2">
        <w:rPr>
          <w:rFonts w:ascii="Arial" w:hAnsi="Arial" w:cs="Arial"/>
          <w:sz w:val="18"/>
          <w:szCs w:val="18"/>
          <w:lang w:val="en-US" w:eastAsia="cs-CZ"/>
        </w:rPr>
        <w:t xml:space="preserve"> </w:t>
      </w:r>
      <w:r w:rsidR="000C3A5A">
        <w:rPr>
          <w:rFonts w:ascii="Arial" w:hAnsi="Arial" w:cs="Arial"/>
          <w:sz w:val="18"/>
          <w:szCs w:val="18"/>
          <w:lang w:val="en-US" w:eastAsia="cs-CZ"/>
        </w:rPr>
        <w:t>1</w:t>
      </w:r>
      <w:r w:rsidR="006A4950">
        <w:rPr>
          <w:rFonts w:ascii="Arial" w:hAnsi="Arial" w:cs="Arial"/>
          <w:sz w:val="18"/>
          <w:szCs w:val="18"/>
          <w:lang w:val="en-US" w:eastAsia="cs-CZ"/>
        </w:rPr>
        <w:t>7</w:t>
      </w:r>
      <w:r w:rsidR="009D27B2">
        <w:rPr>
          <w:rFonts w:ascii="Arial" w:hAnsi="Arial" w:cs="Arial"/>
          <w:sz w:val="18"/>
          <w:szCs w:val="18"/>
          <w:lang w:val="en-US" w:eastAsia="cs-CZ"/>
        </w:rPr>
        <w:t>%</w:t>
      </w:r>
      <w:r w:rsidR="00F47E75">
        <w:rPr>
          <w:rFonts w:ascii="Arial" w:hAnsi="Arial" w:cs="Arial"/>
          <w:sz w:val="18"/>
          <w:szCs w:val="18"/>
          <w:lang w:val="en-US" w:eastAsia="cs-CZ"/>
        </w:rPr>
        <w:t xml:space="preserve">, </w:t>
      </w:r>
      <w:r w:rsidR="002A3AAE">
        <w:rPr>
          <w:rFonts w:ascii="Arial" w:hAnsi="Arial" w:cs="Arial"/>
          <w:sz w:val="18"/>
          <w:szCs w:val="18"/>
          <w:lang w:val="en-US" w:eastAsia="cs-CZ"/>
        </w:rPr>
        <w:t>lease expansion</w:t>
      </w:r>
      <w:r w:rsidR="003A4F89">
        <w:rPr>
          <w:rFonts w:ascii="Arial" w:hAnsi="Arial" w:cs="Arial"/>
          <w:sz w:val="18"/>
          <w:szCs w:val="18"/>
          <w:lang w:val="en-US" w:eastAsia="cs-CZ"/>
        </w:rPr>
        <w:t xml:space="preserve"> </w:t>
      </w:r>
      <w:r w:rsidR="009C166B">
        <w:rPr>
          <w:rFonts w:ascii="Arial" w:hAnsi="Arial" w:cs="Arial"/>
          <w:sz w:val="18"/>
          <w:szCs w:val="18"/>
          <w:lang w:val="en-US" w:eastAsia="cs-CZ"/>
        </w:rPr>
        <w:t>1</w:t>
      </w:r>
      <w:r w:rsidR="006A4950">
        <w:rPr>
          <w:rFonts w:ascii="Arial" w:hAnsi="Arial" w:cs="Arial"/>
          <w:sz w:val="18"/>
          <w:szCs w:val="18"/>
          <w:lang w:val="en-US" w:eastAsia="cs-CZ"/>
        </w:rPr>
        <w:t>1</w:t>
      </w:r>
      <w:r w:rsidR="003A4F89">
        <w:rPr>
          <w:rFonts w:ascii="Arial" w:hAnsi="Arial" w:cs="Arial"/>
          <w:sz w:val="18"/>
          <w:szCs w:val="18"/>
          <w:lang w:val="en-US" w:eastAsia="cs-CZ"/>
        </w:rPr>
        <w:t xml:space="preserve">%, </w:t>
      </w:r>
      <w:r w:rsidR="009D27B2">
        <w:rPr>
          <w:rFonts w:ascii="Arial" w:hAnsi="Arial" w:cs="Arial"/>
          <w:sz w:val="18"/>
          <w:szCs w:val="18"/>
          <w:lang w:val="en-US" w:eastAsia="cs-CZ"/>
        </w:rPr>
        <w:t xml:space="preserve">while the remaining </w:t>
      </w:r>
      <w:r w:rsidR="006A4950">
        <w:rPr>
          <w:rFonts w:ascii="Arial" w:hAnsi="Arial" w:cs="Arial"/>
          <w:sz w:val="18"/>
          <w:szCs w:val="18"/>
          <w:lang w:val="en-US" w:eastAsia="cs-CZ"/>
        </w:rPr>
        <w:t>2</w:t>
      </w:r>
      <w:r w:rsidR="009D27B2">
        <w:rPr>
          <w:rFonts w:ascii="Arial" w:hAnsi="Arial" w:cs="Arial"/>
          <w:sz w:val="18"/>
          <w:szCs w:val="18"/>
          <w:lang w:val="en-US" w:eastAsia="cs-CZ"/>
        </w:rPr>
        <w:t>% were</w:t>
      </w:r>
      <w:r w:rsidR="00F47E75">
        <w:rPr>
          <w:rFonts w:ascii="Arial" w:hAnsi="Arial" w:cs="Arial"/>
          <w:sz w:val="18"/>
          <w:szCs w:val="18"/>
          <w:lang w:val="en-US" w:eastAsia="cs-CZ"/>
        </w:rPr>
        <w:t xml:space="preserve"> lease </w:t>
      </w:r>
      <w:r w:rsidR="002E0AF4">
        <w:rPr>
          <w:rFonts w:ascii="Arial" w:hAnsi="Arial" w:cs="Arial"/>
          <w:sz w:val="18"/>
          <w:szCs w:val="18"/>
          <w:lang w:val="en-US" w:eastAsia="cs-CZ"/>
        </w:rPr>
        <w:t>leases</w:t>
      </w:r>
      <w:r w:rsidR="009D27B2">
        <w:rPr>
          <w:rFonts w:ascii="Arial" w:hAnsi="Arial" w:cs="Arial"/>
          <w:sz w:val="18"/>
          <w:szCs w:val="18"/>
          <w:lang w:val="en-US" w:eastAsia="cs-CZ"/>
        </w:rPr>
        <w:t xml:space="preserve">. </w:t>
      </w:r>
    </w:p>
    <w:p w14:paraId="38AEAC22" w14:textId="77777777" w:rsidR="001F18D5" w:rsidRPr="001F18D5" w:rsidRDefault="001F18D5" w:rsidP="001F18D5">
      <w:pPr>
        <w:spacing w:after="120"/>
        <w:jc w:val="both"/>
        <w:rPr>
          <w:rFonts w:ascii="Arial" w:hAnsi="Arial" w:cs="Arial"/>
          <w:sz w:val="18"/>
          <w:szCs w:val="18"/>
          <w:lang w:val="en-US" w:eastAsia="cs-CZ"/>
        </w:rPr>
      </w:pPr>
    </w:p>
    <w:p w14:paraId="00A86847" w14:textId="1CC5862F" w:rsidR="00690707" w:rsidRDefault="00690707" w:rsidP="009539D2">
      <w:pPr>
        <w:spacing w:after="120"/>
        <w:jc w:val="center"/>
        <w:rPr>
          <w:rFonts w:ascii="Arial" w:hAnsi="Arial" w:cs="Arial"/>
          <w:sz w:val="18"/>
          <w:szCs w:val="18"/>
          <w:lang w:val="en-US" w:eastAsia="cs-CZ"/>
        </w:rPr>
      </w:pPr>
      <w:r>
        <w:rPr>
          <w:noProof/>
        </w:rPr>
        <w:drawing>
          <wp:inline distT="0" distB="0" distL="0" distR="0" wp14:anchorId="387C9617" wp14:editId="3BD4F88D">
            <wp:extent cx="6479540" cy="2964815"/>
            <wp:effectExtent l="0" t="0" r="16510" b="6985"/>
            <wp:docPr id="3" name="Chart 3">
              <a:extLst xmlns:a="http://schemas.openxmlformats.org/drawingml/2006/main">
                <a:ext uri="{FF2B5EF4-FFF2-40B4-BE49-F238E27FC236}">
                  <a16:creationId xmlns:a16="http://schemas.microsoft.com/office/drawing/2014/main" id="{6E9E31E8-E3B8-4115-B862-FD43743CA2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B97577" w14:textId="57097D57" w:rsidR="00321155" w:rsidRDefault="00321155" w:rsidP="009539D2">
      <w:pPr>
        <w:spacing w:after="120"/>
        <w:jc w:val="center"/>
        <w:rPr>
          <w:rFonts w:ascii="Arial" w:hAnsi="Arial" w:cs="Arial"/>
          <w:sz w:val="18"/>
          <w:szCs w:val="18"/>
          <w:lang w:val="en-US" w:eastAsia="cs-CZ"/>
        </w:rPr>
      </w:pPr>
    </w:p>
    <w:p w14:paraId="3920026A" w14:textId="26FA54D6" w:rsidR="00FF0B92" w:rsidRDefault="003A41A4" w:rsidP="00380640">
      <w:pPr>
        <w:autoSpaceDE w:val="0"/>
        <w:autoSpaceDN w:val="0"/>
        <w:adjustRightInd w:val="0"/>
        <w:spacing w:after="120"/>
        <w:jc w:val="both"/>
        <w:rPr>
          <w:rFonts w:ascii="Arial" w:hAnsi="Arial"/>
          <w:sz w:val="18"/>
          <w:szCs w:val="18"/>
          <w:lang w:val="en-US"/>
        </w:rPr>
      </w:pPr>
      <w:r>
        <w:rPr>
          <w:rFonts w:ascii="Arial" w:hAnsi="Arial"/>
          <w:sz w:val="18"/>
          <w:szCs w:val="18"/>
          <w:lang w:val="en-US"/>
        </w:rPr>
        <w:t>Take-up was</w:t>
      </w:r>
      <w:r w:rsidR="00FF0B92" w:rsidRPr="00FF0B92">
        <w:rPr>
          <w:rFonts w:ascii="Arial" w:hAnsi="Arial"/>
          <w:sz w:val="18"/>
          <w:szCs w:val="18"/>
          <w:lang w:val="en-US"/>
        </w:rPr>
        <w:t xml:space="preserve"> dominated by transactions in the IT sector </w:t>
      </w:r>
      <w:r w:rsidR="00F12016">
        <w:rPr>
          <w:rFonts w:ascii="Arial" w:hAnsi="Arial"/>
          <w:sz w:val="18"/>
          <w:szCs w:val="18"/>
          <w:lang w:val="en-US"/>
        </w:rPr>
        <w:t>with size of</w:t>
      </w:r>
      <w:r w:rsidR="00CC4664">
        <w:rPr>
          <w:rFonts w:ascii="Arial" w:hAnsi="Arial"/>
          <w:sz w:val="18"/>
          <w:szCs w:val="18"/>
          <w:lang w:val="en-US"/>
        </w:rPr>
        <w:t xml:space="preserve"> </w:t>
      </w:r>
      <w:r w:rsidR="00FF0B92" w:rsidRPr="00FF0B92">
        <w:rPr>
          <w:rFonts w:ascii="Arial" w:hAnsi="Arial"/>
          <w:sz w:val="18"/>
          <w:szCs w:val="18"/>
          <w:lang w:val="en-US"/>
        </w:rPr>
        <w:t>1</w:t>
      </w:r>
      <w:r w:rsidR="00D708B5">
        <w:rPr>
          <w:rFonts w:ascii="Arial" w:hAnsi="Arial"/>
          <w:sz w:val="18"/>
          <w:szCs w:val="18"/>
          <w:lang w:val="en-US"/>
        </w:rPr>
        <w:t>1</w:t>
      </w:r>
      <w:r w:rsidR="00FF0B92" w:rsidRPr="00FF0B92">
        <w:rPr>
          <w:rFonts w:ascii="Arial" w:hAnsi="Arial"/>
          <w:sz w:val="18"/>
          <w:szCs w:val="18"/>
          <w:lang w:val="en-US"/>
        </w:rPr>
        <w:t>,</w:t>
      </w:r>
      <w:r w:rsidR="00D708B5">
        <w:rPr>
          <w:rFonts w:ascii="Arial" w:hAnsi="Arial"/>
          <w:sz w:val="18"/>
          <w:szCs w:val="18"/>
          <w:lang w:val="en-US"/>
        </w:rPr>
        <w:t>17</w:t>
      </w:r>
      <w:r w:rsidR="00FF0B92" w:rsidRPr="00FF0B92">
        <w:rPr>
          <w:rFonts w:ascii="Arial" w:hAnsi="Arial"/>
          <w:sz w:val="18"/>
          <w:szCs w:val="18"/>
          <w:lang w:val="en-US"/>
        </w:rPr>
        <w:t xml:space="preserve">0 m2. The largest transaction was in the public sector </w:t>
      </w:r>
      <w:r>
        <w:rPr>
          <w:rFonts w:ascii="Arial" w:hAnsi="Arial"/>
          <w:sz w:val="18"/>
          <w:szCs w:val="18"/>
          <w:lang w:val="en-US"/>
        </w:rPr>
        <w:t xml:space="preserve">with amount of </w:t>
      </w:r>
      <w:r w:rsidR="00FF0B92" w:rsidRPr="00FF0B92">
        <w:rPr>
          <w:rFonts w:ascii="Arial" w:hAnsi="Arial"/>
          <w:sz w:val="18"/>
          <w:szCs w:val="18"/>
          <w:lang w:val="en-US"/>
        </w:rPr>
        <w:t xml:space="preserve">5,000 m2. A total of </w:t>
      </w:r>
      <w:r w:rsidR="00171FF5">
        <w:rPr>
          <w:rFonts w:ascii="Arial" w:hAnsi="Arial"/>
          <w:sz w:val="18"/>
          <w:szCs w:val="18"/>
          <w:lang w:val="en-US"/>
        </w:rPr>
        <w:t>9</w:t>
      </w:r>
      <w:r w:rsidR="00FF0B92" w:rsidRPr="00FF0B92">
        <w:rPr>
          <w:rFonts w:ascii="Arial" w:hAnsi="Arial"/>
          <w:sz w:val="18"/>
          <w:szCs w:val="18"/>
          <w:lang w:val="en-US"/>
        </w:rPr>
        <w:t xml:space="preserve"> transactions</w:t>
      </w:r>
      <w:r w:rsidR="001D0F6A">
        <w:rPr>
          <w:rFonts w:ascii="Arial" w:hAnsi="Arial"/>
          <w:sz w:val="18"/>
          <w:szCs w:val="18"/>
          <w:lang w:val="en-US"/>
        </w:rPr>
        <w:t xml:space="preserve"> were recorder</w:t>
      </w:r>
      <w:r w:rsidR="00FF0B92" w:rsidRPr="00FF0B92">
        <w:rPr>
          <w:rFonts w:ascii="Arial" w:hAnsi="Arial"/>
          <w:sz w:val="18"/>
          <w:szCs w:val="18"/>
          <w:lang w:val="en-US"/>
        </w:rPr>
        <w:t xml:space="preserve"> with an area of over 1,000 m2.</w:t>
      </w:r>
    </w:p>
    <w:p w14:paraId="4F944196" w14:textId="44294FAD" w:rsidR="003E693C" w:rsidRDefault="00380640" w:rsidP="00380640">
      <w:pPr>
        <w:autoSpaceDE w:val="0"/>
        <w:autoSpaceDN w:val="0"/>
        <w:adjustRightInd w:val="0"/>
        <w:spacing w:after="120"/>
        <w:jc w:val="both"/>
        <w:rPr>
          <w:rFonts w:ascii="Arial" w:hAnsi="Arial"/>
          <w:sz w:val="18"/>
          <w:szCs w:val="18"/>
          <w:lang w:val="en-US"/>
        </w:rPr>
      </w:pPr>
      <w:r w:rsidRPr="00380640">
        <w:rPr>
          <w:rFonts w:ascii="Arial" w:hAnsi="Arial"/>
          <w:sz w:val="18"/>
          <w:szCs w:val="18"/>
          <w:lang w:val="en-US"/>
        </w:rPr>
        <w:t xml:space="preserve">The majority of leased space this quarter was leased within the </w:t>
      </w:r>
      <w:r w:rsidR="00136E24">
        <w:rPr>
          <w:rFonts w:ascii="Arial" w:hAnsi="Arial"/>
          <w:sz w:val="18"/>
          <w:szCs w:val="18"/>
          <w:lang w:val="en-US"/>
        </w:rPr>
        <w:t>IT</w:t>
      </w:r>
      <w:r w:rsidRPr="00380640">
        <w:rPr>
          <w:rFonts w:ascii="Arial" w:hAnsi="Arial"/>
          <w:sz w:val="18"/>
          <w:szCs w:val="18"/>
          <w:lang w:val="en-US"/>
        </w:rPr>
        <w:t xml:space="preserve"> (</w:t>
      </w:r>
      <w:r w:rsidR="00DC5965">
        <w:rPr>
          <w:rFonts w:ascii="Arial" w:hAnsi="Arial"/>
          <w:sz w:val="18"/>
          <w:szCs w:val="18"/>
          <w:lang w:val="en-US"/>
        </w:rPr>
        <w:t>2</w:t>
      </w:r>
      <w:r w:rsidR="001B09A2">
        <w:rPr>
          <w:rFonts w:ascii="Arial" w:hAnsi="Arial"/>
          <w:sz w:val="18"/>
          <w:szCs w:val="18"/>
          <w:lang w:val="en-US"/>
        </w:rPr>
        <w:t>6</w:t>
      </w:r>
      <w:r w:rsidR="006460E8">
        <w:rPr>
          <w:rFonts w:ascii="Arial" w:hAnsi="Arial"/>
          <w:sz w:val="18"/>
          <w:szCs w:val="18"/>
          <w:lang w:val="en-US"/>
        </w:rPr>
        <w:t>%</w:t>
      </w:r>
      <w:r w:rsidRPr="00380640">
        <w:rPr>
          <w:rFonts w:ascii="Arial" w:hAnsi="Arial"/>
          <w:sz w:val="18"/>
          <w:szCs w:val="18"/>
          <w:lang w:val="en-US"/>
        </w:rPr>
        <w:t xml:space="preserve">), </w:t>
      </w:r>
      <w:r w:rsidR="001B09A2">
        <w:rPr>
          <w:rFonts w:ascii="Arial" w:hAnsi="Arial"/>
          <w:sz w:val="18"/>
          <w:szCs w:val="18"/>
          <w:lang w:val="en-US"/>
        </w:rPr>
        <w:t>finance</w:t>
      </w:r>
      <w:r w:rsidRPr="00380640">
        <w:rPr>
          <w:rFonts w:ascii="Arial" w:hAnsi="Arial"/>
          <w:sz w:val="18"/>
          <w:szCs w:val="18"/>
          <w:lang w:val="en-US"/>
        </w:rPr>
        <w:t xml:space="preserve"> sector (</w:t>
      </w:r>
      <w:r w:rsidR="00DD107A">
        <w:rPr>
          <w:rFonts w:ascii="Arial" w:hAnsi="Arial"/>
          <w:sz w:val="18"/>
          <w:szCs w:val="18"/>
          <w:lang w:val="en-US"/>
        </w:rPr>
        <w:t>22</w:t>
      </w:r>
      <w:r w:rsidRPr="00380640">
        <w:rPr>
          <w:rFonts w:ascii="Arial" w:hAnsi="Arial"/>
          <w:sz w:val="18"/>
          <w:szCs w:val="18"/>
          <w:lang w:val="en-US"/>
        </w:rPr>
        <w:t>%)</w:t>
      </w:r>
      <w:r w:rsidR="0055647E">
        <w:rPr>
          <w:rFonts w:ascii="Arial" w:hAnsi="Arial"/>
          <w:sz w:val="18"/>
          <w:szCs w:val="18"/>
          <w:lang w:val="en-US"/>
        </w:rPr>
        <w:t xml:space="preserve"> and</w:t>
      </w:r>
      <w:r w:rsidRPr="00380640">
        <w:rPr>
          <w:rFonts w:ascii="Arial" w:hAnsi="Arial"/>
          <w:sz w:val="18"/>
          <w:szCs w:val="18"/>
          <w:lang w:val="en-US"/>
        </w:rPr>
        <w:t xml:space="preserve"> </w:t>
      </w:r>
      <w:r w:rsidR="00A36C33">
        <w:rPr>
          <w:rFonts w:ascii="Arial" w:hAnsi="Arial"/>
          <w:sz w:val="18"/>
          <w:szCs w:val="18"/>
          <w:lang w:val="en-US"/>
        </w:rPr>
        <w:t>professional services</w:t>
      </w:r>
      <w:r w:rsidR="00C45321" w:rsidRPr="00380640">
        <w:rPr>
          <w:rFonts w:ascii="Arial" w:hAnsi="Arial"/>
          <w:sz w:val="18"/>
          <w:szCs w:val="18"/>
          <w:lang w:val="en-US"/>
        </w:rPr>
        <w:t xml:space="preserve"> (</w:t>
      </w:r>
      <w:r w:rsidR="00A36C33">
        <w:rPr>
          <w:rFonts w:ascii="Arial" w:hAnsi="Arial"/>
          <w:sz w:val="18"/>
          <w:szCs w:val="18"/>
          <w:lang w:val="en-US"/>
        </w:rPr>
        <w:t>20</w:t>
      </w:r>
      <w:r w:rsidR="00C45321" w:rsidRPr="00380640">
        <w:rPr>
          <w:rFonts w:ascii="Arial" w:hAnsi="Arial"/>
          <w:sz w:val="18"/>
          <w:szCs w:val="18"/>
          <w:lang w:val="en-US"/>
        </w:rPr>
        <w:t>%)</w:t>
      </w:r>
      <w:r w:rsidRPr="00380640">
        <w:rPr>
          <w:rFonts w:ascii="Arial" w:hAnsi="Arial"/>
          <w:sz w:val="18"/>
          <w:szCs w:val="18"/>
          <w:lang w:val="en-US"/>
        </w:rPr>
        <w:t>.</w:t>
      </w:r>
      <w:r w:rsidR="00C34970">
        <w:rPr>
          <w:rFonts w:ascii="Arial" w:hAnsi="Arial"/>
          <w:sz w:val="18"/>
          <w:szCs w:val="18"/>
          <w:lang w:val="en-US"/>
        </w:rPr>
        <w:t xml:space="preserve"> </w:t>
      </w:r>
    </w:p>
    <w:p w14:paraId="022EB145" w14:textId="77777777" w:rsidR="001F18D5" w:rsidRDefault="001F18D5" w:rsidP="00380640">
      <w:pPr>
        <w:autoSpaceDE w:val="0"/>
        <w:autoSpaceDN w:val="0"/>
        <w:adjustRightInd w:val="0"/>
        <w:spacing w:after="120"/>
        <w:jc w:val="both"/>
        <w:rPr>
          <w:rFonts w:ascii="Arial" w:hAnsi="Arial"/>
          <w:sz w:val="18"/>
          <w:szCs w:val="18"/>
          <w:lang w:val="en-US"/>
        </w:rPr>
      </w:pPr>
    </w:p>
    <w:p w14:paraId="5CA6A517" w14:textId="186E130A" w:rsidR="00991334" w:rsidRPr="00236AEB" w:rsidRDefault="00DD107A" w:rsidP="00236AEB">
      <w:pPr>
        <w:autoSpaceDE w:val="0"/>
        <w:autoSpaceDN w:val="0"/>
        <w:adjustRightInd w:val="0"/>
        <w:spacing w:after="120"/>
        <w:jc w:val="center"/>
        <w:rPr>
          <w:rFonts w:ascii="Arial" w:eastAsia="SimSun" w:hAnsi="Arial" w:cs="Arial"/>
          <w:sz w:val="18"/>
          <w:szCs w:val="18"/>
          <w:lang w:val="en-US" w:eastAsia="sk-SK"/>
        </w:rPr>
      </w:pPr>
      <w:r>
        <w:rPr>
          <w:noProof/>
        </w:rPr>
        <w:drawing>
          <wp:inline distT="0" distB="0" distL="0" distR="0" wp14:anchorId="51DD359B" wp14:editId="73C9ED09">
            <wp:extent cx="5364000" cy="3279600"/>
            <wp:effectExtent l="0" t="0" r="8255" b="16510"/>
            <wp:docPr id="12" name="Chart 12">
              <a:extLst xmlns:a="http://schemas.openxmlformats.org/drawingml/2006/main">
                <a:ext uri="{FF2B5EF4-FFF2-40B4-BE49-F238E27FC236}">
                  <a16:creationId xmlns:a16="http://schemas.microsoft.com/office/drawing/2014/main" id="{C9D408F3-89BA-449E-BC91-5A245E2225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91334">
        <w:rPr>
          <w:rFonts w:ascii="Arial" w:hAnsi="Arial" w:cs="Arial"/>
          <w:b/>
          <w:bCs/>
          <w:lang w:val="en-US"/>
        </w:rPr>
        <w:br w:type="page"/>
      </w:r>
    </w:p>
    <w:p w14:paraId="0E3790B0" w14:textId="5355188D" w:rsidR="000F38E3" w:rsidRDefault="006A4F3A" w:rsidP="006A4F3A">
      <w:pPr>
        <w:jc w:val="both"/>
        <w:outlineLvl w:val="0"/>
        <w:rPr>
          <w:rFonts w:ascii="Arial" w:hAnsi="Arial" w:cs="Arial"/>
          <w:b/>
          <w:bCs/>
          <w:lang w:val="en-US"/>
        </w:rPr>
      </w:pPr>
      <w:r w:rsidRPr="00FE73E4">
        <w:rPr>
          <w:rFonts w:ascii="Arial" w:hAnsi="Arial" w:cs="Arial"/>
          <w:b/>
          <w:bCs/>
          <w:lang w:val="en-US"/>
        </w:rPr>
        <w:lastRenderedPageBreak/>
        <w:t>Significant Office Transactions</w:t>
      </w:r>
      <w:r w:rsidR="00B30BFE">
        <w:rPr>
          <w:rFonts w:ascii="Arial" w:hAnsi="Arial" w:cs="Arial"/>
          <w:b/>
          <w:bCs/>
          <w:lang w:val="en-US"/>
        </w:rPr>
        <w:t xml:space="preserve"> in Q</w:t>
      </w:r>
      <w:r w:rsidR="000D0616">
        <w:rPr>
          <w:rFonts w:ascii="Arial" w:hAnsi="Arial" w:cs="Arial"/>
          <w:b/>
          <w:bCs/>
          <w:lang w:val="en-US"/>
        </w:rPr>
        <w:t>4</w:t>
      </w:r>
    </w:p>
    <w:p w14:paraId="029BAF18" w14:textId="2998E557" w:rsidR="000D0616" w:rsidRDefault="000D0616" w:rsidP="006A4F3A">
      <w:pPr>
        <w:jc w:val="both"/>
        <w:outlineLvl w:val="0"/>
        <w:rPr>
          <w:rFonts w:ascii="Arial" w:hAnsi="Arial" w:cs="Arial"/>
          <w:b/>
          <w:bCs/>
          <w:lang w:val="en-US"/>
        </w:rPr>
      </w:pPr>
    </w:p>
    <w:tbl>
      <w:tblPr>
        <w:tblStyle w:val="GridTable4-Accent1"/>
        <w:tblpPr w:leftFromText="180" w:rightFromText="180" w:vertAnchor="text" w:tblpY="1"/>
        <w:tblW w:w="10075" w:type="dxa"/>
        <w:tblLook w:val="04A0" w:firstRow="1" w:lastRow="0" w:firstColumn="1" w:lastColumn="0" w:noHBand="0" w:noVBand="1"/>
      </w:tblPr>
      <w:tblGrid>
        <w:gridCol w:w="2830"/>
        <w:gridCol w:w="1796"/>
        <w:gridCol w:w="3540"/>
        <w:gridCol w:w="1909"/>
      </w:tblGrid>
      <w:tr w:rsidR="000D0616" w:rsidRPr="002102E0" w14:paraId="60AD8BEF" w14:textId="77777777" w:rsidTr="000E5F4B">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645EAB88" w14:textId="32328364" w:rsidR="000D0616" w:rsidRPr="002102E0" w:rsidRDefault="000E5F4B" w:rsidP="001070FB">
            <w:pPr>
              <w:jc w:val="center"/>
              <w:rPr>
                <w:rFonts w:ascii="Arial" w:hAnsi="Arial" w:cs="Arial"/>
                <w:b w:val="0"/>
                <w:bCs w:val="0"/>
                <w:sz w:val="18"/>
                <w:szCs w:val="14"/>
                <w:lang w:val="en-US"/>
              </w:rPr>
            </w:pPr>
            <w:r>
              <w:rPr>
                <w:rFonts w:ascii="Arial" w:hAnsi="Arial" w:cs="Arial"/>
                <w:sz w:val="18"/>
                <w:szCs w:val="14"/>
                <w:lang w:val="en-US"/>
              </w:rPr>
              <w:t>Office building</w:t>
            </w:r>
          </w:p>
        </w:tc>
        <w:tc>
          <w:tcPr>
            <w:tcW w:w="1796" w:type="dxa"/>
            <w:vAlign w:val="center"/>
            <w:hideMark/>
          </w:tcPr>
          <w:p w14:paraId="1EE767F6" w14:textId="63AF658A" w:rsidR="000D0616" w:rsidRPr="002102E0" w:rsidRDefault="000E5F4B" w:rsidP="001070F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4"/>
                <w:lang w:val="sk-SK" w:eastAsia="sk-SK"/>
              </w:rPr>
            </w:pPr>
            <w:r>
              <w:rPr>
                <w:rFonts w:ascii="Arial" w:hAnsi="Arial" w:cs="Arial"/>
                <w:sz w:val="18"/>
                <w:szCs w:val="14"/>
                <w:lang w:val="sk-SK" w:eastAsia="sk-SK"/>
              </w:rPr>
              <w:t>Lease area</w:t>
            </w:r>
            <w:r w:rsidR="000D0616" w:rsidRPr="002102E0">
              <w:rPr>
                <w:rFonts w:ascii="Arial" w:hAnsi="Arial" w:cs="Arial"/>
                <w:sz w:val="18"/>
                <w:szCs w:val="14"/>
                <w:lang w:val="sk-SK" w:eastAsia="sk-SK"/>
              </w:rPr>
              <w:t xml:space="preserve"> (</w:t>
            </w:r>
            <w:r>
              <w:rPr>
                <w:rFonts w:ascii="Arial" w:hAnsi="Arial" w:cs="Arial"/>
                <w:sz w:val="18"/>
                <w:szCs w:val="14"/>
                <w:lang w:val="sk-SK" w:eastAsia="sk-SK"/>
              </w:rPr>
              <w:t>sqm</w:t>
            </w:r>
            <w:r w:rsidR="000D0616" w:rsidRPr="002102E0">
              <w:rPr>
                <w:rFonts w:ascii="Arial" w:hAnsi="Arial" w:cs="Arial"/>
                <w:sz w:val="18"/>
                <w:szCs w:val="14"/>
                <w:lang w:val="sk-SK" w:eastAsia="sk-SK"/>
              </w:rPr>
              <w:t>)</w:t>
            </w:r>
          </w:p>
        </w:tc>
        <w:tc>
          <w:tcPr>
            <w:tcW w:w="3540" w:type="dxa"/>
            <w:vAlign w:val="center"/>
            <w:hideMark/>
          </w:tcPr>
          <w:p w14:paraId="2E8BFCE5" w14:textId="121287B2" w:rsidR="000D0616" w:rsidRPr="002102E0" w:rsidRDefault="000D0616" w:rsidP="001070F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4"/>
                <w:lang w:val="sk-SK" w:eastAsia="sk-SK"/>
              </w:rPr>
            </w:pPr>
            <w:r w:rsidRPr="002102E0">
              <w:rPr>
                <w:rFonts w:ascii="Arial" w:hAnsi="Arial" w:cs="Arial"/>
                <w:sz w:val="18"/>
                <w:szCs w:val="14"/>
                <w:lang w:val="sk-SK" w:eastAsia="sk-SK"/>
              </w:rPr>
              <w:t>Se</w:t>
            </w:r>
            <w:r w:rsidR="000E5F4B">
              <w:rPr>
                <w:rFonts w:ascii="Arial" w:hAnsi="Arial" w:cs="Arial"/>
                <w:sz w:val="18"/>
                <w:szCs w:val="14"/>
                <w:lang w:val="sk-SK" w:eastAsia="sk-SK"/>
              </w:rPr>
              <w:t>c</w:t>
            </w:r>
            <w:r w:rsidRPr="002102E0">
              <w:rPr>
                <w:rFonts w:ascii="Arial" w:hAnsi="Arial" w:cs="Arial"/>
                <w:sz w:val="18"/>
                <w:szCs w:val="14"/>
                <w:lang w:val="sk-SK" w:eastAsia="sk-SK"/>
              </w:rPr>
              <w:t>tor</w:t>
            </w:r>
          </w:p>
        </w:tc>
        <w:tc>
          <w:tcPr>
            <w:tcW w:w="1909" w:type="dxa"/>
            <w:vAlign w:val="center"/>
            <w:hideMark/>
          </w:tcPr>
          <w:p w14:paraId="4B719D54" w14:textId="6B2A382E" w:rsidR="000D0616" w:rsidRPr="002102E0" w:rsidRDefault="000E5F4B" w:rsidP="001070F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4"/>
                <w:lang w:val="sk-SK" w:eastAsia="sk-SK"/>
              </w:rPr>
            </w:pPr>
            <w:r>
              <w:rPr>
                <w:rFonts w:ascii="Arial" w:hAnsi="Arial" w:cs="Arial"/>
                <w:sz w:val="18"/>
                <w:szCs w:val="14"/>
                <w:lang w:val="sk-SK" w:eastAsia="sk-SK"/>
              </w:rPr>
              <w:t>Type of transaction</w:t>
            </w:r>
          </w:p>
        </w:tc>
      </w:tr>
      <w:tr w:rsidR="00004B97" w:rsidRPr="002102E0" w14:paraId="6B483CCF" w14:textId="77777777" w:rsidTr="000E5F4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7CDE49A7" w14:textId="30B91B61" w:rsidR="00004B97" w:rsidRPr="002102E0" w:rsidRDefault="00004B97" w:rsidP="00004B97">
            <w:pPr>
              <w:rPr>
                <w:rFonts w:ascii="Arial" w:hAnsi="Arial" w:cs="Arial"/>
                <w:sz w:val="18"/>
                <w:szCs w:val="14"/>
                <w:lang w:val="sk-SK" w:eastAsia="sk-SK"/>
              </w:rPr>
            </w:pPr>
            <w:r>
              <w:rPr>
                <w:rFonts w:ascii="Arial" w:hAnsi="Arial" w:cs="Arial"/>
                <w:color w:val="000000" w:themeColor="text1"/>
                <w:sz w:val="18"/>
                <w:szCs w:val="18"/>
              </w:rPr>
              <w:t>Omnia BC</w:t>
            </w:r>
          </w:p>
        </w:tc>
        <w:tc>
          <w:tcPr>
            <w:tcW w:w="1796" w:type="dxa"/>
            <w:vAlign w:val="center"/>
            <w:hideMark/>
          </w:tcPr>
          <w:p w14:paraId="76BC9934" w14:textId="0F6DCF51" w:rsidR="00004B97" w:rsidRPr="002102E0" w:rsidRDefault="00004B97" w:rsidP="00004B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5,000</w:t>
            </w:r>
          </w:p>
        </w:tc>
        <w:tc>
          <w:tcPr>
            <w:tcW w:w="3540" w:type="dxa"/>
            <w:vAlign w:val="center"/>
            <w:hideMark/>
          </w:tcPr>
          <w:p w14:paraId="3C4E64BD" w14:textId="6D946A17" w:rsidR="00004B97" w:rsidRPr="002102E0" w:rsidRDefault="00873760" w:rsidP="00004B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Public sector</w:t>
            </w:r>
          </w:p>
        </w:tc>
        <w:tc>
          <w:tcPr>
            <w:tcW w:w="1909" w:type="dxa"/>
            <w:vAlign w:val="center"/>
          </w:tcPr>
          <w:p w14:paraId="267B8273" w14:textId="03486A2B" w:rsidR="00004B97" w:rsidRPr="002102E0" w:rsidRDefault="00C6491D" w:rsidP="00004B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w:t>
            </w:r>
            <w:r w:rsidR="00AB1AD6">
              <w:rPr>
                <w:rFonts w:ascii="Arial" w:hAnsi="Arial" w:cs="Arial"/>
                <w:sz w:val="18"/>
                <w:szCs w:val="14"/>
                <w:lang w:val="sk-SK" w:eastAsia="sk-SK"/>
              </w:rPr>
              <w:t>ew lease</w:t>
            </w:r>
          </w:p>
        </w:tc>
      </w:tr>
      <w:tr w:rsidR="007E4403" w:rsidRPr="002102E0" w14:paraId="40F9BCC8" w14:textId="77777777" w:rsidTr="000E5F4B">
        <w:trPr>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5403F51" w14:textId="4FC6C2C1" w:rsidR="007E4403" w:rsidRDefault="007E4403" w:rsidP="007E4403">
            <w:pPr>
              <w:rPr>
                <w:rFonts w:ascii="Arial" w:hAnsi="Arial" w:cs="Arial"/>
                <w:color w:val="000000" w:themeColor="text1"/>
                <w:sz w:val="18"/>
                <w:szCs w:val="18"/>
              </w:rPr>
            </w:pPr>
            <w:r>
              <w:rPr>
                <w:rFonts w:ascii="Arial" w:hAnsi="Arial" w:cs="Arial"/>
                <w:color w:val="000000" w:themeColor="text1"/>
                <w:sz w:val="18"/>
                <w:szCs w:val="18"/>
              </w:rPr>
              <w:t>Panorama Business 2</w:t>
            </w:r>
          </w:p>
        </w:tc>
        <w:tc>
          <w:tcPr>
            <w:tcW w:w="1796" w:type="dxa"/>
            <w:vAlign w:val="center"/>
          </w:tcPr>
          <w:p w14:paraId="5CC9B0E9" w14:textId="12499E69" w:rsidR="007E4403" w:rsidRDefault="007E4403" w:rsidP="007E440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Pr>
                <w:rFonts w:ascii="Arial" w:hAnsi="Arial" w:cs="Arial"/>
                <w:b/>
                <w:bCs/>
                <w:color w:val="000000" w:themeColor="text1"/>
                <w:sz w:val="18"/>
                <w:szCs w:val="18"/>
              </w:rPr>
              <w:t>4,811</w:t>
            </w:r>
          </w:p>
        </w:tc>
        <w:tc>
          <w:tcPr>
            <w:tcW w:w="3540" w:type="dxa"/>
            <w:vAlign w:val="center"/>
          </w:tcPr>
          <w:p w14:paraId="4094B41C" w14:textId="13301629" w:rsidR="007E4403" w:rsidRDefault="007E4403" w:rsidP="007E44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Finance/Banking/Insurance</w:t>
            </w:r>
          </w:p>
        </w:tc>
        <w:tc>
          <w:tcPr>
            <w:tcW w:w="1909" w:type="dxa"/>
            <w:vAlign w:val="center"/>
          </w:tcPr>
          <w:p w14:paraId="23CE6B5E" w14:textId="6AF0611D" w:rsidR="007E4403" w:rsidRDefault="007E4403" w:rsidP="007E440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new lease</w:t>
            </w:r>
          </w:p>
        </w:tc>
      </w:tr>
      <w:tr w:rsidR="00004B97" w:rsidRPr="002102E0" w14:paraId="0C3268F8" w14:textId="77777777" w:rsidTr="000E5F4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4D51B288" w14:textId="7998DF9F" w:rsidR="00004B97" w:rsidRPr="002102E0" w:rsidRDefault="00004B97" w:rsidP="00004B97">
            <w:pPr>
              <w:rPr>
                <w:rFonts w:ascii="Arial" w:hAnsi="Arial" w:cs="Arial"/>
                <w:sz w:val="18"/>
                <w:szCs w:val="14"/>
                <w:lang w:val="sk-SK" w:eastAsia="sk-SK"/>
              </w:rPr>
            </w:pPr>
            <w:r>
              <w:rPr>
                <w:rFonts w:ascii="Arial" w:hAnsi="Arial" w:cs="Arial"/>
                <w:color w:val="000000" w:themeColor="text1"/>
                <w:sz w:val="18"/>
                <w:szCs w:val="18"/>
              </w:rPr>
              <w:t>Digital Park II+III</w:t>
            </w:r>
          </w:p>
        </w:tc>
        <w:tc>
          <w:tcPr>
            <w:tcW w:w="1796" w:type="dxa"/>
            <w:vAlign w:val="center"/>
            <w:hideMark/>
          </w:tcPr>
          <w:p w14:paraId="523AE372" w14:textId="22E27242" w:rsidR="00004B97" w:rsidRPr="002102E0" w:rsidRDefault="00004B97" w:rsidP="00004B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2,330</w:t>
            </w:r>
          </w:p>
        </w:tc>
        <w:tc>
          <w:tcPr>
            <w:tcW w:w="3540" w:type="dxa"/>
            <w:vAlign w:val="center"/>
            <w:hideMark/>
          </w:tcPr>
          <w:p w14:paraId="383476AA" w14:textId="70F11FED" w:rsidR="00004B97" w:rsidRPr="002102E0" w:rsidRDefault="00004B97" w:rsidP="00004B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IT</w:t>
            </w:r>
          </w:p>
        </w:tc>
        <w:tc>
          <w:tcPr>
            <w:tcW w:w="1909" w:type="dxa"/>
            <w:vAlign w:val="center"/>
          </w:tcPr>
          <w:p w14:paraId="4FB920F6" w14:textId="2FAA4BB5" w:rsidR="00004B97" w:rsidRPr="002102E0" w:rsidRDefault="00C6491D" w:rsidP="00004B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expansion</w:t>
            </w:r>
          </w:p>
        </w:tc>
      </w:tr>
      <w:tr w:rsidR="00C6491D" w:rsidRPr="002102E0" w14:paraId="61B38DE5" w14:textId="77777777" w:rsidTr="000E5F4B">
        <w:trPr>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04F19F48" w14:textId="615C91DD" w:rsidR="00C6491D" w:rsidRPr="002102E0" w:rsidRDefault="00C6491D" w:rsidP="00C6491D">
            <w:pPr>
              <w:rPr>
                <w:rFonts w:ascii="Arial" w:hAnsi="Arial" w:cs="Arial"/>
                <w:sz w:val="18"/>
                <w:szCs w:val="14"/>
                <w:lang w:val="sk-SK" w:eastAsia="sk-SK"/>
              </w:rPr>
            </w:pPr>
            <w:r>
              <w:rPr>
                <w:rFonts w:ascii="Arial" w:hAnsi="Arial" w:cs="Arial"/>
                <w:color w:val="000000" w:themeColor="text1"/>
                <w:sz w:val="18"/>
                <w:szCs w:val="18"/>
              </w:rPr>
              <w:t>Ein Park Offices</w:t>
            </w:r>
          </w:p>
        </w:tc>
        <w:tc>
          <w:tcPr>
            <w:tcW w:w="1796" w:type="dxa"/>
            <w:vAlign w:val="center"/>
            <w:hideMark/>
          </w:tcPr>
          <w:p w14:paraId="44782E93" w14:textId="4979FE51" w:rsidR="00C6491D" w:rsidRPr="002102E0" w:rsidRDefault="00C6491D" w:rsidP="00C6491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1,671</w:t>
            </w:r>
          </w:p>
        </w:tc>
        <w:tc>
          <w:tcPr>
            <w:tcW w:w="3540" w:type="dxa"/>
            <w:vAlign w:val="center"/>
            <w:hideMark/>
          </w:tcPr>
          <w:p w14:paraId="519F97B1" w14:textId="6CCDB073" w:rsidR="00C6491D" w:rsidRPr="002102E0" w:rsidRDefault="00C6491D" w:rsidP="00C6491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IT</w:t>
            </w:r>
          </w:p>
        </w:tc>
        <w:tc>
          <w:tcPr>
            <w:tcW w:w="1909" w:type="dxa"/>
            <w:vAlign w:val="center"/>
          </w:tcPr>
          <w:p w14:paraId="728B366B" w14:textId="4C17E622" w:rsidR="00C6491D" w:rsidRPr="002102E0" w:rsidRDefault="00C6491D" w:rsidP="00C6491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new lease</w:t>
            </w:r>
          </w:p>
        </w:tc>
      </w:tr>
      <w:tr w:rsidR="00C6491D" w:rsidRPr="002102E0" w14:paraId="21B57C46" w14:textId="77777777" w:rsidTr="000E5F4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4057811A" w14:textId="571B0748" w:rsidR="00C6491D" w:rsidRPr="002102E0" w:rsidRDefault="00C6491D" w:rsidP="00C6491D">
            <w:pPr>
              <w:rPr>
                <w:rFonts w:ascii="Arial" w:hAnsi="Arial" w:cs="Arial"/>
                <w:sz w:val="18"/>
                <w:szCs w:val="14"/>
                <w:lang w:val="sk-SK" w:eastAsia="sk-SK"/>
              </w:rPr>
            </w:pPr>
            <w:r>
              <w:rPr>
                <w:rFonts w:ascii="Arial" w:hAnsi="Arial" w:cs="Arial"/>
                <w:color w:val="000000" w:themeColor="text1"/>
                <w:sz w:val="18"/>
                <w:szCs w:val="18"/>
              </w:rPr>
              <w:t>Pradiareň 1900</w:t>
            </w:r>
          </w:p>
        </w:tc>
        <w:tc>
          <w:tcPr>
            <w:tcW w:w="1796" w:type="dxa"/>
            <w:vAlign w:val="center"/>
            <w:hideMark/>
          </w:tcPr>
          <w:p w14:paraId="7800A666" w14:textId="09A90F6C" w:rsidR="00C6491D" w:rsidRPr="002102E0" w:rsidRDefault="00C6491D" w:rsidP="00C6491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1,380</w:t>
            </w:r>
          </w:p>
        </w:tc>
        <w:tc>
          <w:tcPr>
            <w:tcW w:w="3540" w:type="dxa"/>
            <w:hideMark/>
          </w:tcPr>
          <w:p w14:paraId="4BFC7CBB" w14:textId="5FF1DE68" w:rsidR="00C6491D" w:rsidRPr="002102E0" w:rsidRDefault="00C6491D" w:rsidP="00C6491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Other</w:t>
            </w:r>
          </w:p>
        </w:tc>
        <w:tc>
          <w:tcPr>
            <w:tcW w:w="1909" w:type="dxa"/>
            <w:vAlign w:val="center"/>
          </w:tcPr>
          <w:p w14:paraId="3049FE82" w14:textId="1A473042" w:rsidR="00C6491D" w:rsidRPr="002102E0" w:rsidRDefault="00C6491D" w:rsidP="00C6491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new lease</w:t>
            </w:r>
          </w:p>
        </w:tc>
      </w:tr>
      <w:tr w:rsidR="00C6491D" w:rsidRPr="002102E0" w14:paraId="6ABD9532" w14:textId="77777777" w:rsidTr="000E5F4B">
        <w:trPr>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4A6D4200" w14:textId="3CBCD307" w:rsidR="00C6491D" w:rsidRPr="002102E0" w:rsidRDefault="00C6491D" w:rsidP="00C6491D">
            <w:pPr>
              <w:rPr>
                <w:rFonts w:ascii="Arial" w:hAnsi="Arial" w:cs="Arial"/>
                <w:sz w:val="18"/>
                <w:szCs w:val="14"/>
                <w:lang w:val="sk-SK" w:eastAsia="sk-SK"/>
              </w:rPr>
            </w:pPr>
            <w:r>
              <w:rPr>
                <w:rFonts w:ascii="Arial" w:hAnsi="Arial" w:cs="Arial"/>
                <w:color w:val="000000" w:themeColor="text1"/>
                <w:sz w:val="18"/>
                <w:szCs w:val="18"/>
              </w:rPr>
              <w:t>GBC V</w:t>
            </w:r>
          </w:p>
        </w:tc>
        <w:tc>
          <w:tcPr>
            <w:tcW w:w="1796" w:type="dxa"/>
            <w:vAlign w:val="center"/>
            <w:hideMark/>
          </w:tcPr>
          <w:p w14:paraId="5C89D928" w14:textId="04D054B7" w:rsidR="00C6491D" w:rsidRPr="002102E0" w:rsidRDefault="00C6491D" w:rsidP="00C6491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1,200</w:t>
            </w:r>
          </w:p>
        </w:tc>
        <w:tc>
          <w:tcPr>
            <w:tcW w:w="3540" w:type="dxa"/>
            <w:hideMark/>
          </w:tcPr>
          <w:p w14:paraId="2F5CC799" w14:textId="7B453C84" w:rsidR="00C6491D" w:rsidRPr="002102E0" w:rsidRDefault="00C6491D" w:rsidP="00C6491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Consumer goods</w:t>
            </w:r>
          </w:p>
        </w:tc>
        <w:tc>
          <w:tcPr>
            <w:tcW w:w="1909" w:type="dxa"/>
            <w:vAlign w:val="center"/>
          </w:tcPr>
          <w:p w14:paraId="1561F9EC" w14:textId="4D4E1C19" w:rsidR="00C6491D" w:rsidRPr="002102E0" w:rsidRDefault="00C6491D" w:rsidP="00C6491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new lease</w:t>
            </w:r>
          </w:p>
        </w:tc>
      </w:tr>
      <w:tr w:rsidR="00C6491D" w:rsidRPr="002102E0" w14:paraId="5BF92249" w14:textId="77777777" w:rsidTr="000E5F4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06117D6D" w14:textId="3A971024" w:rsidR="00C6491D" w:rsidRPr="002102E0" w:rsidRDefault="00C6491D" w:rsidP="00C6491D">
            <w:pPr>
              <w:rPr>
                <w:rFonts w:ascii="Arial" w:hAnsi="Arial" w:cs="Arial"/>
                <w:sz w:val="18"/>
                <w:szCs w:val="14"/>
                <w:lang w:val="sk-SK" w:eastAsia="sk-SK"/>
              </w:rPr>
            </w:pPr>
            <w:r>
              <w:rPr>
                <w:rFonts w:ascii="Arial" w:hAnsi="Arial" w:cs="Arial"/>
                <w:color w:val="000000" w:themeColor="text1"/>
                <w:sz w:val="18"/>
                <w:szCs w:val="18"/>
              </w:rPr>
              <w:t>GBC V</w:t>
            </w:r>
          </w:p>
        </w:tc>
        <w:tc>
          <w:tcPr>
            <w:tcW w:w="1796" w:type="dxa"/>
            <w:vAlign w:val="center"/>
            <w:hideMark/>
          </w:tcPr>
          <w:p w14:paraId="68058567" w14:textId="1A0EE5F9" w:rsidR="00C6491D" w:rsidRPr="002102E0" w:rsidRDefault="00C6491D" w:rsidP="00C6491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1,200</w:t>
            </w:r>
          </w:p>
        </w:tc>
        <w:tc>
          <w:tcPr>
            <w:tcW w:w="3540" w:type="dxa"/>
            <w:hideMark/>
          </w:tcPr>
          <w:p w14:paraId="36DBB336" w14:textId="506970C8" w:rsidR="00C6491D" w:rsidRPr="002102E0" w:rsidRDefault="00C6491D" w:rsidP="00C6491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Professional services</w:t>
            </w:r>
          </w:p>
        </w:tc>
        <w:tc>
          <w:tcPr>
            <w:tcW w:w="1909" w:type="dxa"/>
            <w:vAlign w:val="center"/>
          </w:tcPr>
          <w:p w14:paraId="2576DC96" w14:textId="263D9520" w:rsidR="00C6491D" w:rsidRPr="002102E0" w:rsidRDefault="00C6491D" w:rsidP="00C6491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new lease</w:t>
            </w:r>
          </w:p>
        </w:tc>
      </w:tr>
      <w:tr w:rsidR="00C6491D" w:rsidRPr="002102E0" w14:paraId="74F50215" w14:textId="77777777" w:rsidTr="000E5F4B">
        <w:trPr>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7FA52268" w14:textId="696C99D4" w:rsidR="00C6491D" w:rsidRPr="002102E0" w:rsidRDefault="00C6491D" w:rsidP="00C6491D">
            <w:pPr>
              <w:rPr>
                <w:rFonts w:ascii="Arial" w:hAnsi="Arial" w:cs="Arial"/>
                <w:sz w:val="18"/>
                <w:szCs w:val="14"/>
                <w:lang w:val="sk-SK" w:eastAsia="sk-SK"/>
              </w:rPr>
            </w:pPr>
            <w:r>
              <w:rPr>
                <w:rFonts w:ascii="Arial" w:hAnsi="Arial" w:cs="Arial"/>
                <w:color w:val="000000" w:themeColor="text1"/>
                <w:sz w:val="18"/>
                <w:szCs w:val="18"/>
              </w:rPr>
              <w:t>Nivy Tower</w:t>
            </w:r>
          </w:p>
        </w:tc>
        <w:tc>
          <w:tcPr>
            <w:tcW w:w="1796" w:type="dxa"/>
            <w:vAlign w:val="center"/>
            <w:hideMark/>
          </w:tcPr>
          <w:p w14:paraId="7D25F274" w14:textId="3571BA53" w:rsidR="00C6491D" w:rsidRPr="002102E0" w:rsidRDefault="00C6491D" w:rsidP="00C6491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1,190</w:t>
            </w:r>
          </w:p>
        </w:tc>
        <w:tc>
          <w:tcPr>
            <w:tcW w:w="3540" w:type="dxa"/>
            <w:vAlign w:val="center"/>
            <w:hideMark/>
          </w:tcPr>
          <w:p w14:paraId="33D343F4" w14:textId="658ADFD1" w:rsidR="00C6491D" w:rsidRPr="002102E0" w:rsidRDefault="00C6491D" w:rsidP="00C6491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IT</w:t>
            </w:r>
          </w:p>
        </w:tc>
        <w:tc>
          <w:tcPr>
            <w:tcW w:w="1909" w:type="dxa"/>
            <w:vAlign w:val="center"/>
          </w:tcPr>
          <w:p w14:paraId="4AE2AC33" w14:textId="35AE886E" w:rsidR="00C6491D" w:rsidRPr="002102E0" w:rsidRDefault="00C6491D" w:rsidP="00C6491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new lease</w:t>
            </w:r>
          </w:p>
        </w:tc>
      </w:tr>
      <w:tr w:rsidR="00004B97" w:rsidRPr="002102E0" w14:paraId="28A06B7D" w14:textId="77777777" w:rsidTr="0075751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765DCC7F" w14:textId="0A0B18EA" w:rsidR="00004B97" w:rsidRPr="002102E0" w:rsidRDefault="00004B97" w:rsidP="00004B97">
            <w:pPr>
              <w:rPr>
                <w:rFonts w:ascii="Arial" w:hAnsi="Arial" w:cs="Arial"/>
                <w:sz w:val="18"/>
                <w:szCs w:val="14"/>
                <w:lang w:val="sk-SK" w:eastAsia="sk-SK"/>
              </w:rPr>
            </w:pPr>
            <w:r w:rsidRPr="009C3E60">
              <w:rPr>
                <w:rFonts w:ascii="Arial" w:hAnsi="Arial" w:cs="Arial"/>
                <w:color w:val="000000" w:themeColor="text1"/>
                <w:sz w:val="18"/>
                <w:szCs w:val="18"/>
              </w:rPr>
              <w:t>myhive Vajnorská/Tower 1</w:t>
            </w:r>
          </w:p>
        </w:tc>
        <w:tc>
          <w:tcPr>
            <w:tcW w:w="1796" w:type="dxa"/>
            <w:vAlign w:val="center"/>
            <w:hideMark/>
          </w:tcPr>
          <w:p w14:paraId="077B217F" w14:textId="1146CCF5" w:rsidR="00004B97" w:rsidRPr="002102E0" w:rsidRDefault="00004B97" w:rsidP="00004B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1,080</w:t>
            </w:r>
          </w:p>
        </w:tc>
        <w:tc>
          <w:tcPr>
            <w:tcW w:w="3540" w:type="dxa"/>
            <w:vAlign w:val="center"/>
            <w:hideMark/>
          </w:tcPr>
          <w:p w14:paraId="19C0B445" w14:textId="5E93053A" w:rsidR="00004B97" w:rsidRPr="002102E0" w:rsidRDefault="00004B97" w:rsidP="00004B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IT</w:t>
            </w:r>
          </w:p>
        </w:tc>
        <w:tc>
          <w:tcPr>
            <w:tcW w:w="1909" w:type="dxa"/>
            <w:vAlign w:val="center"/>
          </w:tcPr>
          <w:p w14:paraId="10D07836" w14:textId="05EB5136" w:rsidR="00004B97" w:rsidRPr="002102E0" w:rsidRDefault="00E35BDB" w:rsidP="00004B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r</w:t>
            </w:r>
            <w:r w:rsidR="00C6491D">
              <w:rPr>
                <w:rFonts w:ascii="Arial" w:hAnsi="Arial" w:cs="Arial"/>
                <w:sz w:val="18"/>
                <w:szCs w:val="14"/>
                <w:lang w:val="sk-SK" w:eastAsia="sk-SK"/>
              </w:rPr>
              <w:t>enego</w:t>
            </w:r>
            <w:r>
              <w:rPr>
                <w:rFonts w:ascii="Arial" w:hAnsi="Arial" w:cs="Arial"/>
                <w:sz w:val="18"/>
                <w:szCs w:val="14"/>
                <w:lang w:val="sk-SK" w:eastAsia="sk-SK"/>
              </w:rPr>
              <w:t>tiation</w:t>
            </w:r>
          </w:p>
        </w:tc>
      </w:tr>
      <w:tr w:rsidR="00E35BDB" w:rsidRPr="002102E0" w14:paraId="61AA97BE" w14:textId="77777777" w:rsidTr="0075751D">
        <w:trPr>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2D4852E8" w14:textId="0F98E521" w:rsidR="00E35BDB" w:rsidRPr="002102E0" w:rsidRDefault="00E35BDB" w:rsidP="00E35BDB">
            <w:pPr>
              <w:rPr>
                <w:rFonts w:ascii="Arial" w:hAnsi="Arial" w:cs="Arial"/>
                <w:sz w:val="18"/>
                <w:szCs w:val="14"/>
                <w:lang w:val="sk-SK" w:eastAsia="sk-SK"/>
              </w:rPr>
            </w:pPr>
            <w:r w:rsidRPr="00027BBB">
              <w:rPr>
                <w:rFonts w:ascii="Arial" w:hAnsi="Arial" w:cs="Arial"/>
                <w:color w:val="000000" w:themeColor="text1"/>
                <w:sz w:val="18"/>
                <w:szCs w:val="18"/>
              </w:rPr>
              <w:t>City Business Center II</w:t>
            </w:r>
          </w:p>
        </w:tc>
        <w:tc>
          <w:tcPr>
            <w:tcW w:w="1796" w:type="dxa"/>
            <w:vAlign w:val="center"/>
            <w:hideMark/>
          </w:tcPr>
          <w:p w14:paraId="4AA16679" w14:textId="0878F80C" w:rsidR="00E35BDB" w:rsidRPr="002102E0" w:rsidRDefault="00E35BDB" w:rsidP="00E35B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972</w:t>
            </w:r>
          </w:p>
        </w:tc>
        <w:tc>
          <w:tcPr>
            <w:tcW w:w="3540" w:type="dxa"/>
            <w:vAlign w:val="center"/>
            <w:hideMark/>
          </w:tcPr>
          <w:p w14:paraId="2CE501C8" w14:textId="58355780" w:rsidR="00E35BDB" w:rsidRPr="002102E0" w:rsidRDefault="00E35BDB" w:rsidP="00E35B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Finance/Banking/Insurance</w:t>
            </w:r>
          </w:p>
        </w:tc>
        <w:tc>
          <w:tcPr>
            <w:tcW w:w="1909" w:type="dxa"/>
            <w:vAlign w:val="center"/>
          </w:tcPr>
          <w:p w14:paraId="6882169E" w14:textId="4BE29B1D" w:rsidR="00E35BDB" w:rsidRPr="002102E0" w:rsidRDefault="00E35BDB" w:rsidP="00E35BD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new lease</w:t>
            </w:r>
          </w:p>
        </w:tc>
      </w:tr>
    </w:tbl>
    <w:p w14:paraId="281C23E3" w14:textId="77777777" w:rsidR="00DC0F09" w:rsidRDefault="00DC0F09" w:rsidP="006A4F3A">
      <w:pPr>
        <w:jc w:val="both"/>
        <w:outlineLvl w:val="0"/>
        <w:rPr>
          <w:rFonts w:ascii="Arial" w:hAnsi="Arial" w:cs="Arial"/>
          <w:b/>
          <w:bCs/>
          <w:lang w:val="en-US"/>
        </w:rPr>
      </w:pPr>
    </w:p>
    <w:p w14:paraId="5A161F87" w14:textId="77777777" w:rsidR="00DC0F09" w:rsidRDefault="00DC0F09" w:rsidP="006A4F3A">
      <w:pPr>
        <w:jc w:val="both"/>
        <w:outlineLvl w:val="0"/>
        <w:rPr>
          <w:rFonts w:ascii="Arial" w:hAnsi="Arial" w:cs="Arial"/>
          <w:b/>
          <w:bCs/>
          <w:lang w:val="en-US"/>
        </w:rPr>
      </w:pPr>
    </w:p>
    <w:p w14:paraId="0DFCA276" w14:textId="735D370F" w:rsidR="006A4F3A" w:rsidRPr="00FE73E4" w:rsidRDefault="006A4F3A" w:rsidP="006A4F3A">
      <w:pPr>
        <w:jc w:val="both"/>
        <w:outlineLvl w:val="0"/>
        <w:rPr>
          <w:rFonts w:ascii="Arial" w:hAnsi="Arial" w:cs="Arial"/>
          <w:b/>
          <w:bCs/>
          <w:lang w:val="en-US"/>
        </w:rPr>
      </w:pPr>
      <w:r w:rsidRPr="00FE73E4">
        <w:rPr>
          <w:rFonts w:ascii="Arial" w:hAnsi="Arial" w:cs="Arial"/>
          <w:b/>
          <w:bCs/>
          <w:lang w:val="en-US"/>
        </w:rPr>
        <w:t>Office Vacancy</w:t>
      </w:r>
    </w:p>
    <w:p w14:paraId="3364E6EF" w14:textId="77777777" w:rsidR="007B4A88" w:rsidRPr="00FE73E4" w:rsidRDefault="007B4A88" w:rsidP="007B4A88">
      <w:pPr>
        <w:jc w:val="both"/>
        <w:rPr>
          <w:rFonts w:ascii="Arial" w:hAnsi="Arial" w:cs="Arial"/>
          <w:bCs/>
          <w:sz w:val="18"/>
          <w:szCs w:val="18"/>
          <w:lang w:val="en-US"/>
        </w:rPr>
      </w:pPr>
    </w:p>
    <w:p w14:paraId="18F69A4A" w14:textId="327D7FC8" w:rsidR="00110D5A" w:rsidRDefault="00275CC4" w:rsidP="006A4F3A">
      <w:pPr>
        <w:autoSpaceDE w:val="0"/>
        <w:autoSpaceDN w:val="0"/>
        <w:adjustRightInd w:val="0"/>
        <w:jc w:val="both"/>
        <w:rPr>
          <w:rFonts w:ascii="Arial" w:eastAsia="SimSun" w:hAnsi="Arial" w:cs="Arial"/>
          <w:sz w:val="18"/>
          <w:szCs w:val="18"/>
          <w:lang w:val="en-US" w:eastAsia="sk-SK"/>
        </w:rPr>
      </w:pPr>
      <w:r w:rsidRPr="00275CC4">
        <w:rPr>
          <w:rFonts w:ascii="Arial" w:eastAsia="SimSun" w:hAnsi="Arial" w:cs="Arial"/>
          <w:sz w:val="18"/>
          <w:szCs w:val="18"/>
          <w:lang w:val="en-US" w:eastAsia="sk-SK"/>
        </w:rPr>
        <w:t xml:space="preserve">The overall vacancy rate in Bratislava </w:t>
      </w:r>
      <w:r w:rsidR="001B330E">
        <w:rPr>
          <w:rFonts w:ascii="Arial" w:eastAsia="SimSun" w:hAnsi="Arial" w:cs="Arial"/>
          <w:sz w:val="18"/>
          <w:szCs w:val="18"/>
          <w:lang w:val="en-US" w:eastAsia="sk-SK"/>
        </w:rPr>
        <w:t>slightly increased</w:t>
      </w:r>
      <w:r w:rsidRPr="00275CC4">
        <w:rPr>
          <w:rFonts w:ascii="Arial" w:eastAsia="SimSun" w:hAnsi="Arial" w:cs="Arial"/>
          <w:sz w:val="18"/>
          <w:szCs w:val="18"/>
          <w:lang w:val="en-US" w:eastAsia="sk-SK"/>
        </w:rPr>
        <w:t xml:space="preserve"> </w:t>
      </w:r>
      <w:r w:rsidR="00BB6057">
        <w:rPr>
          <w:rFonts w:ascii="Arial" w:eastAsia="SimSun" w:hAnsi="Arial" w:cs="Arial"/>
          <w:sz w:val="18"/>
          <w:szCs w:val="18"/>
          <w:lang w:val="en-US" w:eastAsia="sk-SK"/>
        </w:rPr>
        <w:t>compared to previous quarter by 0,</w:t>
      </w:r>
      <w:r w:rsidR="001B330E">
        <w:rPr>
          <w:rFonts w:ascii="Arial" w:eastAsia="SimSun" w:hAnsi="Arial" w:cs="Arial"/>
          <w:sz w:val="18"/>
          <w:szCs w:val="18"/>
          <w:lang w:val="en-US" w:eastAsia="sk-SK"/>
        </w:rPr>
        <w:t>13</w:t>
      </w:r>
      <w:r w:rsidR="00BB6057">
        <w:rPr>
          <w:rFonts w:ascii="Arial" w:eastAsia="SimSun" w:hAnsi="Arial" w:cs="Arial"/>
          <w:sz w:val="18"/>
          <w:szCs w:val="18"/>
          <w:lang w:val="en-US" w:eastAsia="sk-SK"/>
        </w:rPr>
        <w:t xml:space="preserve"> % </w:t>
      </w:r>
      <w:r w:rsidRPr="00275CC4">
        <w:rPr>
          <w:rFonts w:ascii="Arial" w:eastAsia="SimSun" w:hAnsi="Arial" w:cs="Arial"/>
          <w:sz w:val="18"/>
          <w:szCs w:val="18"/>
          <w:lang w:val="en-US" w:eastAsia="sk-SK"/>
        </w:rPr>
        <w:t>to</w:t>
      </w:r>
      <w:r w:rsidR="00BB6057">
        <w:rPr>
          <w:rFonts w:ascii="Arial" w:eastAsia="SimSun" w:hAnsi="Arial" w:cs="Arial"/>
          <w:sz w:val="18"/>
          <w:szCs w:val="18"/>
          <w:lang w:val="en-US" w:eastAsia="sk-SK"/>
        </w:rPr>
        <w:t xml:space="preserve"> current</w:t>
      </w:r>
      <w:r w:rsidRPr="00275CC4">
        <w:rPr>
          <w:rFonts w:ascii="Arial" w:eastAsia="SimSun" w:hAnsi="Arial" w:cs="Arial"/>
          <w:sz w:val="18"/>
          <w:szCs w:val="18"/>
          <w:lang w:val="en-US" w:eastAsia="sk-SK"/>
        </w:rPr>
        <w:t xml:space="preserve"> </w:t>
      </w:r>
      <w:r w:rsidR="00F14A0B" w:rsidRPr="00F14A0B">
        <w:rPr>
          <w:rFonts w:ascii="Arial" w:eastAsia="SimSun" w:hAnsi="Arial" w:cs="Arial"/>
          <w:sz w:val="18"/>
          <w:szCs w:val="18"/>
          <w:lang w:val="en-US" w:eastAsia="sk-SK"/>
        </w:rPr>
        <w:t>1</w:t>
      </w:r>
      <w:r w:rsidR="000D0616">
        <w:rPr>
          <w:rFonts w:ascii="Arial" w:eastAsia="SimSun" w:hAnsi="Arial" w:cs="Arial"/>
          <w:sz w:val="18"/>
          <w:szCs w:val="18"/>
          <w:lang w:val="en-US" w:eastAsia="sk-SK"/>
        </w:rPr>
        <w:t>1</w:t>
      </w:r>
      <w:r w:rsidR="00F14A0B" w:rsidRPr="00F14A0B">
        <w:rPr>
          <w:rFonts w:ascii="Arial" w:eastAsia="SimSun" w:hAnsi="Arial" w:cs="Arial"/>
          <w:sz w:val="18"/>
          <w:szCs w:val="18"/>
          <w:lang w:val="en-US" w:eastAsia="sk-SK"/>
        </w:rPr>
        <w:t>.</w:t>
      </w:r>
      <w:r w:rsidR="00E46276">
        <w:rPr>
          <w:rFonts w:ascii="Arial" w:eastAsia="SimSun" w:hAnsi="Arial" w:cs="Arial"/>
          <w:sz w:val="18"/>
          <w:szCs w:val="18"/>
          <w:lang w:val="en-US" w:eastAsia="sk-SK"/>
        </w:rPr>
        <w:t>83</w:t>
      </w:r>
      <w:r w:rsidR="00F14A0B" w:rsidRPr="00F14A0B">
        <w:rPr>
          <w:rFonts w:ascii="Arial" w:eastAsia="SimSun" w:hAnsi="Arial" w:cs="Arial"/>
          <w:sz w:val="18"/>
          <w:szCs w:val="18"/>
          <w:lang w:val="en-US" w:eastAsia="sk-SK"/>
        </w:rPr>
        <w:t>%</w:t>
      </w:r>
      <w:r w:rsidRPr="00275CC4">
        <w:rPr>
          <w:rFonts w:ascii="Arial" w:eastAsia="SimSun" w:hAnsi="Arial" w:cs="Arial"/>
          <w:sz w:val="18"/>
          <w:szCs w:val="18"/>
          <w:lang w:val="en-US" w:eastAsia="sk-SK"/>
        </w:rPr>
        <w:t xml:space="preserve">. The lowest vacancy rate was recorded in the </w:t>
      </w:r>
      <w:r w:rsidR="00DC0F09">
        <w:rPr>
          <w:rFonts w:ascii="Arial" w:eastAsia="SimSun" w:hAnsi="Arial" w:cs="Arial"/>
          <w:sz w:val="18"/>
          <w:szCs w:val="18"/>
          <w:lang w:val="en-US" w:eastAsia="sk-SK"/>
        </w:rPr>
        <w:t>City Centre</w:t>
      </w:r>
      <w:r w:rsidRPr="00275CC4">
        <w:rPr>
          <w:rFonts w:ascii="Arial" w:eastAsia="SimSun" w:hAnsi="Arial" w:cs="Arial"/>
          <w:sz w:val="18"/>
          <w:szCs w:val="18"/>
          <w:lang w:val="en-US" w:eastAsia="sk-SK"/>
        </w:rPr>
        <w:t xml:space="preserve"> submarket (</w:t>
      </w:r>
      <w:r w:rsidR="00575E0F">
        <w:rPr>
          <w:rFonts w:ascii="Arial" w:eastAsia="SimSun" w:hAnsi="Arial" w:cs="Arial"/>
          <w:sz w:val="18"/>
          <w:szCs w:val="18"/>
          <w:lang w:val="en-US" w:eastAsia="sk-SK"/>
        </w:rPr>
        <w:t>7</w:t>
      </w:r>
      <w:r w:rsidR="00F14A0B" w:rsidRPr="00F14A0B">
        <w:rPr>
          <w:rFonts w:ascii="Arial" w:eastAsia="SimSun" w:hAnsi="Arial" w:cs="Arial"/>
          <w:sz w:val="18"/>
          <w:szCs w:val="18"/>
          <w:lang w:val="en-US" w:eastAsia="sk-SK"/>
        </w:rPr>
        <w:t>.</w:t>
      </w:r>
      <w:r w:rsidR="00575E0F">
        <w:rPr>
          <w:rFonts w:ascii="Arial" w:eastAsia="SimSun" w:hAnsi="Arial" w:cs="Arial"/>
          <w:sz w:val="18"/>
          <w:szCs w:val="18"/>
          <w:lang w:val="en-US" w:eastAsia="sk-SK"/>
        </w:rPr>
        <w:t>07</w:t>
      </w:r>
      <w:r w:rsidR="00F14A0B" w:rsidRPr="00F14A0B">
        <w:rPr>
          <w:rFonts w:ascii="Arial" w:eastAsia="SimSun" w:hAnsi="Arial" w:cs="Arial"/>
          <w:sz w:val="18"/>
          <w:szCs w:val="18"/>
          <w:lang w:val="en-US" w:eastAsia="sk-SK"/>
        </w:rPr>
        <w:t>%</w:t>
      </w:r>
      <w:r w:rsidR="00F14A0B">
        <w:rPr>
          <w:rFonts w:ascii="Arial" w:eastAsia="SimSun" w:hAnsi="Arial" w:cs="Arial"/>
          <w:sz w:val="18"/>
          <w:szCs w:val="18"/>
          <w:lang w:val="en-US" w:eastAsia="sk-SK"/>
        </w:rPr>
        <w:t xml:space="preserve">), </w:t>
      </w:r>
      <w:bookmarkStart w:id="4" w:name="_Hlk70600326"/>
      <w:r w:rsidRPr="00275CC4">
        <w:rPr>
          <w:rFonts w:ascii="Arial" w:eastAsia="SimSun" w:hAnsi="Arial" w:cs="Arial"/>
          <w:sz w:val="18"/>
          <w:szCs w:val="18"/>
          <w:lang w:val="en-US" w:eastAsia="sk-SK"/>
        </w:rPr>
        <w:t xml:space="preserve">followed by the </w:t>
      </w:r>
      <w:r w:rsidR="00DC0F09">
        <w:rPr>
          <w:rFonts w:ascii="Arial" w:eastAsia="SimSun" w:hAnsi="Arial" w:cs="Arial"/>
          <w:sz w:val="18"/>
          <w:szCs w:val="18"/>
          <w:lang w:val="en-US" w:eastAsia="sk-SK"/>
        </w:rPr>
        <w:t>Inner City</w:t>
      </w:r>
      <w:r w:rsidRPr="00275CC4">
        <w:rPr>
          <w:rFonts w:ascii="Arial" w:eastAsia="SimSun" w:hAnsi="Arial" w:cs="Arial"/>
          <w:sz w:val="18"/>
          <w:szCs w:val="18"/>
          <w:lang w:val="en-US" w:eastAsia="sk-SK"/>
        </w:rPr>
        <w:t xml:space="preserve"> (</w:t>
      </w:r>
      <w:r w:rsidR="00575E0F">
        <w:rPr>
          <w:rFonts w:ascii="Arial" w:eastAsia="SimSun" w:hAnsi="Arial" w:cs="Arial"/>
          <w:sz w:val="18"/>
          <w:szCs w:val="18"/>
          <w:lang w:val="en-US" w:eastAsia="sk-SK"/>
        </w:rPr>
        <w:t>9</w:t>
      </w:r>
      <w:r w:rsidR="00F14A0B">
        <w:rPr>
          <w:rFonts w:ascii="Arial" w:eastAsia="SimSun" w:hAnsi="Arial" w:cs="Arial"/>
          <w:sz w:val="18"/>
          <w:szCs w:val="18"/>
          <w:lang w:val="en-US" w:eastAsia="sk-SK"/>
        </w:rPr>
        <w:t>.</w:t>
      </w:r>
      <w:r w:rsidR="00575E0F">
        <w:rPr>
          <w:rFonts w:ascii="Arial" w:eastAsia="SimSun" w:hAnsi="Arial" w:cs="Arial"/>
          <w:sz w:val="18"/>
          <w:szCs w:val="18"/>
          <w:lang w:val="en-US" w:eastAsia="sk-SK"/>
        </w:rPr>
        <w:t>5</w:t>
      </w:r>
      <w:r w:rsidR="000E5F4B">
        <w:rPr>
          <w:rFonts w:ascii="Arial" w:eastAsia="SimSun" w:hAnsi="Arial" w:cs="Arial"/>
          <w:sz w:val="18"/>
          <w:szCs w:val="18"/>
          <w:lang w:val="en-US" w:eastAsia="sk-SK"/>
        </w:rPr>
        <w:t>0</w:t>
      </w:r>
      <w:r w:rsidRPr="00275CC4">
        <w:rPr>
          <w:rFonts w:ascii="Arial" w:eastAsia="SimSun" w:hAnsi="Arial" w:cs="Arial"/>
          <w:sz w:val="18"/>
          <w:szCs w:val="18"/>
          <w:lang w:val="en-US" w:eastAsia="sk-SK"/>
        </w:rPr>
        <w:t xml:space="preserve">%), </w:t>
      </w:r>
      <w:r w:rsidR="000E5F4B">
        <w:rPr>
          <w:rFonts w:ascii="Arial" w:eastAsia="SimSun" w:hAnsi="Arial" w:cs="Arial"/>
          <w:sz w:val="18"/>
          <w:szCs w:val="18"/>
          <w:lang w:val="en-US" w:eastAsia="sk-SK"/>
        </w:rPr>
        <w:t>CBD</w:t>
      </w:r>
      <w:r w:rsidR="00DC0F09">
        <w:rPr>
          <w:rFonts w:ascii="Arial" w:eastAsia="SimSun" w:hAnsi="Arial" w:cs="Arial"/>
          <w:sz w:val="18"/>
          <w:szCs w:val="18"/>
          <w:lang w:val="en-US" w:eastAsia="sk-SK"/>
        </w:rPr>
        <w:t xml:space="preserve"> (1</w:t>
      </w:r>
      <w:r w:rsidR="001B7863">
        <w:rPr>
          <w:rFonts w:ascii="Arial" w:eastAsia="SimSun" w:hAnsi="Arial" w:cs="Arial"/>
          <w:sz w:val="18"/>
          <w:szCs w:val="18"/>
          <w:lang w:val="en-US" w:eastAsia="sk-SK"/>
        </w:rPr>
        <w:t>3</w:t>
      </w:r>
      <w:r w:rsidR="00DC0F09">
        <w:rPr>
          <w:rFonts w:ascii="Arial" w:eastAsia="SimSun" w:hAnsi="Arial" w:cs="Arial"/>
          <w:sz w:val="18"/>
          <w:szCs w:val="18"/>
          <w:lang w:val="en-US" w:eastAsia="sk-SK"/>
        </w:rPr>
        <w:t>.</w:t>
      </w:r>
      <w:r w:rsidR="00575E0F">
        <w:rPr>
          <w:rFonts w:ascii="Arial" w:eastAsia="SimSun" w:hAnsi="Arial" w:cs="Arial"/>
          <w:sz w:val="18"/>
          <w:szCs w:val="18"/>
          <w:lang w:val="en-US" w:eastAsia="sk-SK"/>
        </w:rPr>
        <w:t>86</w:t>
      </w:r>
      <w:r w:rsidR="00DC0F09">
        <w:rPr>
          <w:rFonts w:ascii="Arial" w:eastAsia="SimSun" w:hAnsi="Arial" w:cs="Arial"/>
          <w:sz w:val="18"/>
          <w:szCs w:val="18"/>
          <w:lang w:val="en-US" w:eastAsia="sk-SK"/>
        </w:rPr>
        <w:t xml:space="preserve">%), </w:t>
      </w:r>
      <w:r w:rsidR="000E5F4B">
        <w:rPr>
          <w:rFonts w:ascii="Arial" w:eastAsia="SimSun" w:hAnsi="Arial" w:cs="Arial"/>
          <w:sz w:val="18"/>
          <w:szCs w:val="18"/>
          <w:lang w:val="en-US" w:eastAsia="sk-SK"/>
        </w:rPr>
        <w:t>Outer City</w:t>
      </w:r>
      <w:r w:rsidRPr="00275CC4">
        <w:rPr>
          <w:rFonts w:ascii="Arial" w:eastAsia="SimSun" w:hAnsi="Arial" w:cs="Arial"/>
          <w:sz w:val="18"/>
          <w:szCs w:val="18"/>
          <w:lang w:val="en-US" w:eastAsia="sk-SK"/>
        </w:rPr>
        <w:t xml:space="preserve"> (</w:t>
      </w:r>
      <w:r w:rsidR="00DC0F09">
        <w:rPr>
          <w:rFonts w:ascii="Arial" w:eastAsia="SimSun" w:hAnsi="Arial" w:cs="Arial"/>
          <w:sz w:val="18"/>
          <w:szCs w:val="18"/>
          <w:lang w:val="en-US" w:eastAsia="sk-SK"/>
        </w:rPr>
        <w:t>1</w:t>
      </w:r>
      <w:r w:rsidR="000E5F4B">
        <w:rPr>
          <w:rFonts w:ascii="Arial" w:eastAsia="SimSun" w:hAnsi="Arial" w:cs="Arial"/>
          <w:sz w:val="18"/>
          <w:szCs w:val="18"/>
          <w:lang w:val="en-US" w:eastAsia="sk-SK"/>
        </w:rPr>
        <w:t>4</w:t>
      </w:r>
      <w:r w:rsidR="00380640">
        <w:rPr>
          <w:rFonts w:ascii="Arial" w:eastAsia="SimSun" w:hAnsi="Arial" w:cs="Arial"/>
          <w:sz w:val="18"/>
          <w:szCs w:val="18"/>
          <w:lang w:val="en-US" w:eastAsia="sk-SK"/>
        </w:rPr>
        <w:t>.</w:t>
      </w:r>
      <w:r w:rsidR="00575E0F">
        <w:rPr>
          <w:rFonts w:ascii="Arial" w:eastAsia="SimSun" w:hAnsi="Arial" w:cs="Arial"/>
          <w:sz w:val="18"/>
          <w:szCs w:val="18"/>
          <w:lang w:val="en-US" w:eastAsia="sk-SK"/>
        </w:rPr>
        <w:t>63</w:t>
      </w:r>
      <w:r w:rsidR="00DC0F09">
        <w:rPr>
          <w:rFonts w:ascii="Arial" w:eastAsia="SimSun" w:hAnsi="Arial" w:cs="Arial"/>
          <w:sz w:val="18"/>
          <w:szCs w:val="18"/>
          <w:lang w:val="en-US" w:eastAsia="sk-SK"/>
        </w:rPr>
        <w:t>%</w:t>
      </w:r>
      <w:r w:rsidRPr="00275CC4">
        <w:rPr>
          <w:rFonts w:ascii="Arial" w:eastAsia="SimSun" w:hAnsi="Arial" w:cs="Arial"/>
          <w:sz w:val="18"/>
          <w:szCs w:val="18"/>
          <w:lang w:val="en-US" w:eastAsia="sk-SK"/>
        </w:rPr>
        <w:t>)</w:t>
      </w:r>
      <w:r w:rsidR="00DC0F09">
        <w:rPr>
          <w:rFonts w:ascii="Arial" w:eastAsia="SimSun" w:hAnsi="Arial" w:cs="Arial"/>
          <w:sz w:val="18"/>
          <w:szCs w:val="18"/>
          <w:lang w:val="en-US" w:eastAsia="sk-SK"/>
        </w:rPr>
        <w:t xml:space="preserve"> </w:t>
      </w:r>
      <w:r w:rsidRPr="00275CC4">
        <w:rPr>
          <w:rFonts w:ascii="Arial" w:eastAsia="SimSun" w:hAnsi="Arial" w:cs="Arial"/>
          <w:sz w:val="18"/>
          <w:szCs w:val="18"/>
          <w:lang w:val="en-US" w:eastAsia="sk-SK"/>
        </w:rPr>
        <w:t xml:space="preserve">and </w:t>
      </w:r>
      <w:r w:rsidR="00F14A0B">
        <w:rPr>
          <w:rFonts w:ascii="Arial" w:eastAsia="SimSun" w:hAnsi="Arial" w:cs="Arial"/>
          <w:sz w:val="18"/>
          <w:szCs w:val="18"/>
          <w:lang w:val="en-US" w:eastAsia="sk-SK"/>
        </w:rPr>
        <w:t>South Bank, recording the highest vacancy rate of 1</w:t>
      </w:r>
      <w:r w:rsidR="00575E0F">
        <w:rPr>
          <w:rFonts w:ascii="Arial" w:eastAsia="SimSun" w:hAnsi="Arial" w:cs="Arial"/>
          <w:sz w:val="18"/>
          <w:szCs w:val="18"/>
          <w:lang w:val="en-US" w:eastAsia="sk-SK"/>
        </w:rPr>
        <w:t>5</w:t>
      </w:r>
      <w:r w:rsidR="00380640">
        <w:rPr>
          <w:rFonts w:ascii="Arial" w:eastAsia="SimSun" w:hAnsi="Arial" w:cs="Arial"/>
          <w:sz w:val="18"/>
          <w:szCs w:val="18"/>
          <w:lang w:val="en-US" w:eastAsia="sk-SK"/>
        </w:rPr>
        <w:t>.</w:t>
      </w:r>
      <w:r w:rsidR="00575E0F">
        <w:rPr>
          <w:rFonts w:ascii="Arial" w:eastAsia="SimSun" w:hAnsi="Arial" w:cs="Arial"/>
          <w:sz w:val="18"/>
          <w:szCs w:val="18"/>
          <w:lang w:val="en-US" w:eastAsia="sk-SK"/>
        </w:rPr>
        <w:t>91</w:t>
      </w:r>
      <w:r w:rsidR="00F14A0B">
        <w:rPr>
          <w:rFonts w:ascii="Arial" w:eastAsia="SimSun" w:hAnsi="Arial" w:cs="Arial"/>
          <w:sz w:val="18"/>
          <w:szCs w:val="18"/>
          <w:lang w:val="en-US" w:eastAsia="sk-SK"/>
        </w:rPr>
        <w:t>%</w:t>
      </w:r>
      <w:r w:rsidRPr="00275CC4">
        <w:rPr>
          <w:rFonts w:ascii="Arial" w:eastAsia="SimSun" w:hAnsi="Arial" w:cs="Arial"/>
          <w:sz w:val="18"/>
          <w:szCs w:val="18"/>
          <w:lang w:val="en-US" w:eastAsia="sk-SK"/>
        </w:rPr>
        <w:t xml:space="preserve">. </w:t>
      </w:r>
      <w:bookmarkEnd w:id="4"/>
    </w:p>
    <w:p w14:paraId="269177A4" w14:textId="77777777" w:rsidR="00895A9D" w:rsidRDefault="00895A9D" w:rsidP="000E5F4B">
      <w:pPr>
        <w:autoSpaceDE w:val="0"/>
        <w:autoSpaceDN w:val="0"/>
        <w:adjustRightInd w:val="0"/>
        <w:jc w:val="center"/>
        <w:rPr>
          <w:rFonts w:ascii="Arial" w:eastAsia="SimSun" w:hAnsi="Arial" w:cs="Arial"/>
          <w:sz w:val="18"/>
          <w:szCs w:val="18"/>
          <w:lang w:val="en-US" w:eastAsia="sk-SK"/>
        </w:rPr>
      </w:pPr>
    </w:p>
    <w:p w14:paraId="65602913" w14:textId="0F368FAD" w:rsidR="00DF3E0B" w:rsidRDefault="00DF3E0B" w:rsidP="000E5F4B">
      <w:pPr>
        <w:autoSpaceDE w:val="0"/>
        <w:autoSpaceDN w:val="0"/>
        <w:adjustRightInd w:val="0"/>
        <w:jc w:val="center"/>
        <w:rPr>
          <w:rFonts w:ascii="Arial" w:eastAsia="SimSun" w:hAnsi="Arial" w:cs="Arial"/>
          <w:sz w:val="18"/>
          <w:szCs w:val="18"/>
          <w:lang w:val="en-US" w:eastAsia="sk-SK"/>
        </w:rPr>
      </w:pPr>
      <w:r>
        <w:rPr>
          <w:noProof/>
        </w:rPr>
        <w:drawing>
          <wp:inline distT="0" distB="0" distL="0" distR="0" wp14:anchorId="3B32A070" wp14:editId="60BC33F7">
            <wp:extent cx="4476307" cy="2417445"/>
            <wp:effectExtent l="0" t="0" r="635" b="1905"/>
            <wp:docPr id="21" name="Chart 21">
              <a:extLst xmlns:a="http://schemas.openxmlformats.org/drawingml/2006/main">
                <a:ext uri="{FF2B5EF4-FFF2-40B4-BE49-F238E27FC236}">
                  <a16:creationId xmlns:a16="http://schemas.microsoft.com/office/drawing/2014/main" id="{A3113F1B-D807-4BFD-9CFB-EF2140995D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75DF2C" w14:textId="51FF7E60" w:rsidR="000D0616" w:rsidRDefault="000D0616" w:rsidP="006A4F3A">
      <w:pPr>
        <w:autoSpaceDE w:val="0"/>
        <w:autoSpaceDN w:val="0"/>
        <w:adjustRightInd w:val="0"/>
        <w:jc w:val="both"/>
        <w:rPr>
          <w:rFonts w:ascii="Arial" w:eastAsia="SimSun" w:hAnsi="Arial" w:cs="Arial"/>
          <w:sz w:val="18"/>
          <w:szCs w:val="18"/>
          <w:lang w:val="en-US" w:eastAsia="sk-SK"/>
        </w:rPr>
      </w:pPr>
    </w:p>
    <w:p w14:paraId="5F5D52A4" w14:textId="00AF648C" w:rsidR="00925F8A" w:rsidRPr="00FE73E4" w:rsidRDefault="00976453" w:rsidP="000E5F4B">
      <w:pPr>
        <w:autoSpaceDE w:val="0"/>
        <w:autoSpaceDN w:val="0"/>
        <w:adjustRightInd w:val="0"/>
        <w:rPr>
          <w:rFonts w:ascii="Arial" w:eastAsia="SimSun" w:hAnsi="Arial" w:cs="Arial"/>
          <w:sz w:val="18"/>
          <w:szCs w:val="18"/>
          <w:lang w:val="en-US" w:eastAsia="sk-SK"/>
        </w:rPr>
      </w:pPr>
      <w:r w:rsidRPr="00976453">
        <w:rPr>
          <w:noProof/>
        </w:rPr>
        <w:t xml:space="preserve"> </w:t>
      </w:r>
    </w:p>
    <w:p w14:paraId="7A22F07F" w14:textId="07A55AE3" w:rsidR="00925F8A" w:rsidRDefault="00925F8A" w:rsidP="00E0011A">
      <w:pPr>
        <w:autoSpaceDE w:val="0"/>
        <w:autoSpaceDN w:val="0"/>
        <w:adjustRightInd w:val="0"/>
        <w:jc w:val="center"/>
        <w:rPr>
          <w:rFonts w:ascii="Arial" w:eastAsia="SimSun" w:hAnsi="Arial" w:cs="Arial"/>
          <w:sz w:val="18"/>
          <w:szCs w:val="18"/>
          <w:lang w:val="en-US" w:eastAsia="sk-SK"/>
        </w:rPr>
      </w:pPr>
    </w:p>
    <w:p w14:paraId="6D9C782D" w14:textId="77777777" w:rsidR="00027984" w:rsidRPr="00FE73E4" w:rsidRDefault="00027984" w:rsidP="00E0011A">
      <w:pPr>
        <w:autoSpaceDE w:val="0"/>
        <w:autoSpaceDN w:val="0"/>
        <w:adjustRightInd w:val="0"/>
        <w:jc w:val="center"/>
        <w:rPr>
          <w:rFonts w:ascii="Arial" w:eastAsia="SimSun" w:hAnsi="Arial" w:cs="Arial"/>
          <w:sz w:val="18"/>
          <w:szCs w:val="18"/>
          <w:lang w:val="en-US" w:eastAsia="sk-SK"/>
        </w:rPr>
      </w:pPr>
    </w:p>
    <w:p w14:paraId="76632098" w14:textId="74ADD792" w:rsidR="00925F8A" w:rsidRPr="00FE73E4" w:rsidRDefault="00925F8A" w:rsidP="00941D2D">
      <w:pPr>
        <w:jc w:val="both"/>
        <w:outlineLvl w:val="0"/>
        <w:rPr>
          <w:rFonts w:ascii="Arial" w:hAnsi="Arial" w:cs="Arial"/>
          <w:b/>
          <w:bCs/>
          <w:lang w:val="en-US"/>
        </w:rPr>
      </w:pPr>
      <w:r w:rsidRPr="00FE73E4">
        <w:rPr>
          <w:rFonts w:ascii="Arial" w:hAnsi="Arial" w:cs="Arial"/>
          <w:b/>
          <w:bCs/>
          <w:lang w:val="en-US"/>
        </w:rPr>
        <w:t>Prime Rent</w:t>
      </w:r>
    </w:p>
    <w:p w14:paraId="4C33EA2F" w14:textId="7EABE782" w:rsidR="00925F8A" w:rsidRPr="00FE73E4" w:rsidRDefault="00925F8A" w:rsidP="006A4F3A">
      <w:pPr>
        <w:autoSpaceDE w:val="0"/>
        <w:autoSpaceDN w:val="0"/>
        <w:adjustRightInd w:val="0"/>
        <w:jc w:val="both"/>
        <w:rPr>
          <w:rFonts w:ascii="Arial" w:eastAsia="SimSun" w:hAnsi="Arial" w:cs="Arial"/>
          <w:sz w:val="18"/>
          <w:szCs w:val="18"/>
          <w:lang w:val="en-US" w:eastAsia="sk-SK"/>
        </w:rPr>
      </w:pPr>
    </w:p>
    <w:p w14:paraId="4978FE64" w14:textId="7B9E671F" w:rsidR="008D5D5F" w:rsidRDefault="00626C87" w:rsidP="00626C87">
      <w:pPr>
        <w:rPr>
          <w:rFonts w:ascii="Arial" w:hAnsi="Arial" w:cs="Arial"/>
          <w:bCs/>
          <w:sz w:val="18"/>
          <w:szCs w:val="18"/>
          <w:lang w:val="en-US"/>
        </w:rPr>
      </w:pPr>
      <w:r w:rsidRPr="00626C87">
        <w:rPr>
          <w:rFonts w:ascii="Arial" w:eastAsia="SimSun" w:hAnsi="Arial" w:cs="Arial"/>
          <w:sz w:val="18"/>
          <w:szCs w:val="18"/>
          <w:lang w:val="en-US" w:eastAsia="sk-SK"/>
        </w:rPr>
        <w:t xml:space="preserve">Prime rent remained unchanged at 16.50 EUR / m2 / month compared to the previous quarter. </w:t>
      </w:r>
      <w:r w:rsidR="008D5D5F">
        <w:rPr>
          <w:rFonts w:ascii="Arial" w:hAnsi="Arial" w:cs="Arial"/>
          <w:bCs/>
          <w:sz w:val="18"/>
          <w:szCs w:val="18"/>
          <w:lang w:val="en-US"/>
        </w:rPr>
        <w:br w:type="page"/>
      </w:r>
    </w:p>
    <w:p w14:paraId="4BFD18E3" w14:textId="77777777" w:rsidR="008D5D5F" w:rsidRDefault="008D5D5F" w:rsidP="00D63D3E">
      <w:pPr>
        <w:outlineLvl w:val="0"/>
        <w:rPr>
          <w:rFonts w:ascii="Arial" w:hAnsi="Arial" w:cs="Arial"/>
          <w:b/>
          <w:noProof/>
          <w:lang w:val="en-US"/>
        </w:rPr>
      </w:pPr>
    </w:p>
    <w:p w14:paraId="5F3D8094" w14:textId="77777777" w:rsidR="008D5D5F" w:rsidRDefault="008D5D5F" w:rsidP="00D63D3E">
      <w:pPr>
        <w:outlineLvl w:val="0"/>
        <w:rPr>
          <w:rFonts w:ascii="Arial" w:hAnsi="Arial" w:cs="Arial"/>
          <w:b/>
          <w:noProof/>
          <w:lang w:val="en-US"/>
        </w:rPr>
      </w:pPr>
    </w:p>
    <w:p w14:paraId="5DC73C65" w14:textId="77777777" w:rsidR="008D5D5F" w:rsidRDefault="008D5D5F" w:rsidP="00D63D3E">
      <w:pPr>
        <w:outlineLvl w:val="0"/>
        <w:rPr>
          <w:rFonts w:ascii="Arial" w:hAnsi="Arial" w:cs="Arial"/>
          <w:b/>
          <w:noProof/>
          <w:lang w:val="en-US"/>
        </w:rPr>
      </w:pPr>
    </w:p>
    <w:p w14:paraId="1A4DE57C" w14:textId="77777777" w:rsidR="008D5D5F" w:rsidRDefault="008D5D5F" w:rsidP="00D63D3E">
      <w:pPr>
        <w:outlineLvl w:val="0"/>
        <w:rPr>
          <w:rFonts w:ascii="Arial" w:hAnsi="Arial" w:cs="Arial"/>
          <w:b/>
          <w:noProof/>
          <w:lang w:val="en-US"/>
        </w:rPr>
      </w:pPr>
    </w:p>
    <w:p w14:paraId="1EAFB81F" w14:textId="77777777" w:rsidR="008D5D5F" w:rsidRDefault="008D5D5F" w:rsidP="00D63D3E">
      <w:pPr>
        <w:outlineLvl w:val="0"/>
        <w:rPr>
          <w:rFonts w:ascii="Arial" w:hAnsi="Arial" w:cs="Arial"/>
          <w:b/>
          <w:noProof/>
          <w:lang w:val="en-US"/>
        </w:rPr>
      </w:pPr>
    </w:p>
    <w:p w14:paraId="2013204A" w14:textId="77777777" w:rsidR="008D5D5F" w:rsidRDefault="008D5D5F" w:rsidP="00D63D3E">
      <w:pPr>
        <w:outlineLvl w:val="0"/>
        <w:rPr>
          <w:rFonts w:ascii="Arial" w:hAnsi="Arial" w:cs="Arial"/>
          <w:b/>
          <w:noProof/>
          <w:lang w:val="en-US"/>
        </w:rPr>
      </w:pPr>
    </w:p>
    <w:p w14:paraId="6E7E4FB7" w14:textId="56373C5A" w:rsidR="006A4F3A" w:rsidRPr="00FE73E4" w:rsidRDefault="006A4F3A" w:rsidP="00D63D3E">
      <w:pPr>
        <w:outlineLvl w:val="0"/>
        <w:rPr>
          <w:rFonts w:ascii="Arial" w:hAnsi="Arial" w:cs="Arial"/>
          <w:b/>
          <w:bCs/>
          <w:noProof/>
          <w:color w:val="000000"/>
          <w:sz w:val="18"/>
          <w:szCs w:val="18"/>
          <w:lang w:val="en-US"/>
        </w:rPr>
      </w:pPr>
      <w:r w:rsidRPr="00FE73E4">
        <w:rPr>
          <w:rFonts w:ascii="Arial" w:hAnsi="Arial" w:cs="Arial"/>
          <w:b/>
          <w:noProof/>
          <w:lang w:val="en-US"/>
        </w:rPr>
        <w:t xml:space="preserve">For </w:t>
      </w:r>
      <w:r w:rsidRPr="00FE73E4">
        <w:rPr>
          <w:rFonts w:ascii="Arial" w:hAnsi="Arial" w:cs="Arial"/>
          <w:b/>
          <w:bCs/>
          <w:noProof/>
          <w:color w:val="000000"/>
          <w:sz w:val="18"/>
          <w:szCs w:val="18"/>
          <w:lang w:val="en-US"/>
        </w:rPr>
        <w:t>further information please contact any member of the Bratislava Research Forum.</w:t>
      </w:r>
    </w:p>
    <w:p w14:paraId="7EC51544" w14:textId="498FC76E" w:rsidR="006A4F3A" w:rsidRPr="00FE73E4" w:rsidRDefault="006A4F3A" w:rsidP="006A4F3A">
      <w:pPr>
        <w:jc w:val="center"/>
        <w:outlineLvl w:val="0"/>
        <w:rPr>
          <w:rFonts w:ascii="Arial" w:hAnsi="Arial" w:cs="Arial"/>
          <w:b/>
          <w:bCs/>
          <w:color w:val="000000"/>
          <w:sz w:val="18"/>
          <w:szCs w:val="18"/>
          <w:lang w:val="en-US"/>
        </w:rPr>
      </w:pPr>
    </w:p>
    <w:p w14:paraId="111EBBE2" w14:textId="16B4997B" w:rsidR="00F520DB" w:rsidRPr="00FE73E4" w:rsidRDefault="00F520DB" w:rsidP="00710C2A">
      <w:pPr>
        <w:jc w:val="center"/>
        <w:outlineLvl w:val="0"/>
        <w:rPr>
          <w:rFonts w:ascii="Arial" w:hAnsi="Arial" w:cs="Arial"/>
          <w:b/>
          <w:bCs/>
          <w:color w:val="000000"/>
          <w:sz w:val="18"/>
          <w:szCs w:val="18"/>
          <w:lang w:val="en-US"/>
        </w:rPr>
      </w:pPr>
    </w:p>
    <w:p w14:paraId="631A7FC0" w14:textId="0B12F547" w:rsidR="00F520DB" w:rsidRPr="00FE73E4" w:rsidRDefault="000E5F4B" w:rsidP="00710C2A">
      <w:pPr>
        <w:jc w:val="center"/>
        <w:outlineLvl w:val="0"/>
        <w:rPr>
          <w:rFonts w:ascii="Arial" w:hAnsi="Arial" w:cs="Arial"/>
          <w:b/>
          <w:bCs/>
          <w:color w:val="000000"/>
          <w:sz w:val="18"/>
          <w:szCs w:val="18"/>
          <w:lang w:val="en-US"/>
        </w:rPr>
      </w:pPr>
      <w:r w:rsidRPr="00FE73E4">
        <w:rPr>
          <w:rFonts w:ascii="Garamond" w:hAnsi="Garamond"/>
          <w:noProof/>
          <w:sz w:val="24"/>
          <w:lang w:val="en-US"/>
        </w:rPr>
        <w:drawing>
          <wp:anchor distT="0" distB="0" distL="114300" distR="114300" simplePos="0" relativeHeight="251659264" behindDoc="0" locked="0" layoutInCell="1" allowOverlap="1" wp14:anchorId="1E7739F6" wp14:editId="39626892">
            <wp:simplePos x="0" y="0"/>
            <wp:positionH relativeFrom="column">
              <wp:posOffset>278130</wp:posOffset>
            </wp:positionH>
            <wp:positionV relativeFrom="paragraph">
              <wp:posOffset>7620</wp:posOffset>
            </wp:positionV>
            <wp:extent cx="1123950" cy="542925"/>
            <wp:effectExtent l="0" t="0" r="0" b="9525"/>
            <wp:wrapThrough wrapText="bothSides">
              <wp:wrapPolygon edited="0">
                <wp:start x="0" y="0"/>
                <wp:lineTo x="0" y="21221"/>
                <wp:lineTo x="21234" y="21221"/>
                <wp:lineTo x="21234" y="0"/>
                <wp:lineTo x="0" y="0"/>
              </wp:wrapPolygon>
            </wp:wrapThrough>
            <wp:docPr id="8" name="Picture 8" descr="2011_CBR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1_CBRE_Logo_Gre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542925"/>
                    </a:xfrm>
                    <a:prstGeom prst="rect">
                      <a:avLst/>
                    </a:prstGeom>
                    <a:noFill/>
                    <a:ln w="9525">
                      <a:noFill/>
                      <a:miter lim="800000"/>
                      <a:headEnd/>
                      <a:tailEnd/>
                    </a:ln>
                  </pic:spPr>
                </pic:pic>
              </a:graphicData>
            </a:graphic>
          </wp:anchor>
        </w:drawing>
      </w:r>
      <w:r w:rsidR="00E444BF" w:rsidRPr="00FE73E4">
        <w:rPr>
          <w:rFonts w:ascii="Garamond" w:hAnsi="Garamond"/>
          <w:noProof/>
          <w:sz w:val="24"/>
          <w:lang w:val="en-US"/>
        </w:rPr>
        <w:drawing>
          <wp:anchor distT="0" distB="0" distL="114300" distR="114300" simplePos="0" relativeHeight="251660288" behindDoc="0" locked="0" layoutInCell="1" allowOverlap="1" wp14:anchorId="52B7792E" wp14:editId="33BB5A45">
            <wp:simplePos x="0" y="0"/>
            <wp:positionH relativeFrom="column">
              <wp:posOffset>1866265</wp:posOffset>
            </wp:positionH>
            <wp:positionV relativeFrom="paragraph">
              <wp:posOffset>7620</wp:posOffset>
            </wp:positionV>
            <wp:extent cx="1079500" cy="479425"/>
            <wp:effectExtent l="0" t="0" r="6350" b="0"/>
            <wp:wrapThrough wrapText="bothSides">
              <wp:wrapPolygon edited="0">
                <wp:start x="0" y="0"/>
                <wp:lineTo x="0" y="20599"/>
                <wp:lineTo x="21346" y="20599"/>
                <wp:lineTo x="21346" y="0"/>
                <wp:lineTo x="0" y="0"/>
              </wp:wrapPolygon>
            </wp:wrapThrough>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500" cy="479425"/>
                    </a:xfrm>
                    <a:prstGeom prst="rect">
                      <a:avLst/>
                    </a:prstGeom>
                  </pic:spPr>
                </pic:pic>
              </a:graphicData>
            </a:graphic>
          </wp:anchor>
        </w:drawing>
      </w:r>
      <w:r w:rsidR="00E444BF" w:rsidRPr="00FE73E4">
        <w:rPr>
          <w:rFonts w:ascii="Garamond" w:hAnsi="Garamond"/>
          <w:noProof/>
          <w:sz w:val="24"/>
          <w:lang w:val="en-US"/>
        </w:rPr>
        <w:drawing>
          <wp:anchor distT="0" distB="0" distL="114300" distR="114300" simplePos="0" relativeHeight="251662336" behindDoc="0" locked="0" layoutInCell="1" allowOverlap="1" wp14:anchorId="13D10011" wp14:editId="0331711D">
            <wp:simplePos x="0" y="0"/>
            <wp:positionH relativeFrom="margin">
              <wp:align>right</wp:align>
            </wp:positionH>
            <wp:positionV relativeFrom="paragraph">
              <wp:posOffset>126365</wp:posOffset>
            </wp:positionV>
            <wp:extent cx="1621790" cy="337820"/>
            <wp:effectExtent l="0" t="0" r="0" b="5080"/>
            <wp:wrapThrough wrapText="bothSides">
              <wp:wrapPolygon edited="0">
                <wp:start x="2537" y="0"/>
                <wp:lineTo x="0" y="8526"/>
                <wp:lineTo x="0" y="20707"/>
                <wp:lineTo x="21312" y="20707"/>
                <wp:lineTo x="21312" y="2436"/>
                <wp:lineTo x="3806" y="0"/>
                <wp:lineTo x="2537"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1790" cy="337820"/>
                    </a:xfrm>
                    <a:prstGeom prst="rect">
                      <a:avLst/>
                    </a:prstGeom>
                    <a:noFill/>
                  </pic:spPr>
                </pic:pic>
              </a:graphicData>
            </a:graphic>
            <wp14:sizeRelH relativeFrom="margin">
              <wp14:pctWidth>0</wp14:pctWidth>
            </wp14:sizeRelH>
            <wp14:sizeRelV relativeFrom="margin">
              <wp14:pctHeight>0</wp14:pctHeight>
            </wp14:sizeRelV>
          </wp:anchor>
        </w:drawing>
      </w:r>
      <w:r w:rsidR="000E79F5" w:rsidRPr="000E79F5">
        <w:rPr>
          <w:rFonts w:ascii="Arial" w:hAnsi="Arial" w:cs="Arial"/>
          <w:b/>
          <w:bCs/>
          <w:noProof/>
          <w:color w:val="000000"/>
          <w:sz w:val="18"/>
          <w:szCs w:val="18"/>
        </w:rPr>
        <w:drawing>
          <wp:inline distT="0" distB="0" distL="0" distR="0" wp14:anchorId="05CA93DB" wp14:editId="7416A9A5">
            <wp:extent cx="1053317" cy="600363"/>
            <wp:effectExtent l="0" t="0" r="0" b="9525"/>
            <wp:docPr id="16" name="Picture 3" descr="Logo&#10;&#10;Description automatically generated">
              <a:extLst xmlns:a="http://schemas.openxmlformats.org/drawingml/2006/main">
                <a:ext uri="{FF2B5EF4-FFF2-40B4-BE49-F238E27FC236}">
                  <a16:creationId xmlns:a16="http://schemas.microsoft.com/office/drawing/2014/main" id="{F31F2410-647F-42EC-BC58-BF31B66011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F31F2410-647F-42EC-BC58-BF31B66011CD}"/>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6887" cy="602398"/>
                    </a:xfrm>
                    <a:prstGeom prst="rect">
                      <a:avLst/>
                    </a:prstGeom>
                  </pic:spPr>
                </pic:pic>
              </a:graphicData>
            </a:graphic>
          </wp:inline>
        </w:drawing>
      </w:r>
    </w:p>
    <w:p w14:paraId="09B689A7" w14:textId="24E43E1A" w:rsidR="00E43597" w:rsidRPr="00FE73E4" w:rsidRDefault="008638F0" w:rsidP="00F90D59">
      <w:pPr>
        <w:ind w:left="1440"/>
        <w:jc w:val="both"/>
        <w:rPr>
          <w:rFonts w:ascii="Garamond" w:hAnsi="Garamond"/>
          <w:sz w:val="24"/>
          <w:lang w:val="en-US"/>
        </w:rPr>
      </w:pPr>
      <w:r w:rsidRPr="00FE73E4">
        <w:rPr>
          <w:rFonts w:ascii="Garamond" w:hAnsi="Garamond"/>
          <w:sz w:val="24"/>
          <w:lang w:val="en-US"/>
        </w:rPr>
        <w:tab/>
      </w:r>
      <w:r w:rsidR="00145B44" w:rsidRPr="00FE73E4">
        <w:rPr>
          <w:rFonts w:ascii="Garamond" w:hAnsi="Garamond"/>
          <w:sz w:val="24"/>
          <w:lang w:val="en-US"/>
        </w:rPr>
        <w:tab/>
      </w:r>
      <w:r w:rsidR="00145B44" w:rsidRPr="00FE73E4">
        <w:rPr>
          <w:rFonts w:ascii="Garamond" w:hAnsi="Garamond"/>
          <w:sz w:val="24"/>
          <w:lang w:val="en-US"/>
        </w:rPr>
        <w:tab/>
      </w:r>
      <w:r w:rsidR="00145B44" w:rsidRPr="00FE73E4">
        <w:rPr>
          <w:rFonts w:ascii="Garamond" w:hAnsi="Garamond"/>
          <w:sz w:val="24"/>
          <w:lang w:val="en-US"/>
        </w:rPr>
        <w:tab/>
      </w:r>
      <w:r w:rsidR="00E43597" w:rsidRPr="00FE73E4">
        <w:rPr>
          <w:rFonts w:ascii="Garamond" w:hAnsi="Garamond"/>
          <w:noProof/>
          <w:sz w:val="24"/>
          <w:lang w:val="en-US"/>
        </w:rPr>
        <w:drawing>
          <wp:anchor distT="0" distB="0" distL="114300" distR="114300" simplePos="0" relativeHeight="251670528" behindDoc="0" locked="0" layoutInCell="1" allowOverlap="1" wp14:anchorId="6E71B671" wp14:editId="5B4FC5C6">
            <wp:simplePos x="543464" y="802257"/>
            <wp:positionH relativeFrom="margin">
              <wp:align>right</wp:align>
            </wp:positionH>
            <wp:positionV relativeFrom="margin">
              <wp:align>top</wp:align>
            </wp:positionV>
            <wp:extent cx="1752600" cy="640080"/>
            <wp:effectExtent l="0" t="0" r="0" b="7620"/>
            <wp:wrapSquare wrapText="bothSides"/>
            <wp:docPr id="10" name="Picture 10"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600" cy="640080"/>
                    </a:xfrm>
                    <a:prstGeom prst="rect">
                      <a:avLst/>
                    </a:prstGeom>
                    <a:noFill/>
                    <a:ln>
                      <a:noFill/>
                    </a:ln>
                  </pic:spPr>
                </pic:pic>
              </a:graphicData>
            </a:graphic>
          </wp:anchor>
        </w:drawing>
      </w:r>
    </w:p>
    <w:p w14:paraId="5F800EB6" w14:textId="77777777" w:rsidR="00D63D3E" w:rsidRPr="00FE73E4" w:rsidRDefault="00D63D3E" w:rsidP="006A4F3A">
      <w:pPr>
        <w:outlineLvl w:val="0"/>
        <w:rPr>
          <w:rFonts w:ascii="Arial" w:hAnsi="Arial" w:cs="Arial"/>
          <w:b/>
          <w:noProof/>
          <w:sz w:val="18"/>
          <w:szCs w:val="18"/>
          <w:lang w:val="en-US"/>
        </w:rPr>
      </w:pPr>
    </w:p>
    <w:p w14:paraId="2E26C59A" w14:textId="77777777" w:rsidR="00E43597" w:rsidRPr="00FE73E4" w:rsidRDefault="00E43597" w:rsidP="006A4F3A">
      <w:pPr>
        <w:outlineLvl w:val="0"/>
        <w:rPr>
          <w:rFonts w:ascii="Arial" w:hAnsi="Arial" w:cs="Arial"/>
          <w:b/>
          <w:noProof/>
          <w:sz w:val="18"/>
          <w:szCs w:val="18"/>
          <w:lang w:val="en-US"/>
        </w:rPr>
      </w:pPr>
    </w:p>
    <w:p w14:paraId="2C27A88B" w14:textId="3ACB8E81" w:rsidR="006A4F3A" w:rsidRPr="00FE73E4" w:rsidRDefault="006A4F3A" w:rsidP="006A4F3A">
      <w:pPr>
        <w:outlineLvl w:val="0"/>
        <w:rPr>
          <w:rFonts w:ascii="Arial" w:hAnsi="Arial" w:cs="Arial"/>
          <w:b/>
          <w:noProof/>
          <w:sz w:val="18"/>
          <w:szCs w:val="18"/>
          <w:lang w:val="en-US"/>
        </w:rPr>
      </w:pPr>
      <w:r w:rsidRPr="00FE73E4">
        <w:rPr>
          <w:rFonts w:ascii="Arial" w:hAnsi="Arial" w:cs="Arial"/>
          <w:b/>
          <w:noProof/>
          <w:sz w:val="18"/>
          <w:szCs w:val="18"/>
          <w:lang w:val="en-US"/>
        </w:rPr>
        <w:t>Definitions</w:t>
      </w:r>
    </w:p>
    <w:p w14:paraId="0879B43E" w14:textId="716220B5" w:rsidR="006A4F3A" w:rsidRPr="00FE73E4" w:rsidRDefault="006A4F3A" w:rsidP="006A4F3A">
      <w:pPr>
        <w:spacing w:before="120"/>
        <w:jc w:val="both"/>
        <w:outlineLvl w:val="0"/>
        <w:rPr>
          <w:rFonts w:ascii="Arial" w:hAnsi="Arial" w:cs="Arial"/>
          <w:i/>
          <w:sz w:val="18"/>
          <w:szCs w:val="18"/>
          <w:lang w:val="en-US"/>
        </w:rPr>
      </w:pPr>
      <w:r w:rsidRPr="00FE73E4">
        <w:rPr>
          <w:rFonts w:ascii="Arial" w:hAnsi="Arial" w:cs="Arial"/>
          <w:b/>
          <w:i/>
          <w:noProof/>
          <w:sz w:val="18"/>
          <w:szCs w:val="18"/>
          <w:lang w:val="en-US"/>
        </w:rPr>
        <w:t>Stock</w:t>
      </w:r>
      <w:r w:rsidRPr="00FE73E4">
        <w:rPr>
          <w:rFonts w:ascii="Arial" w:hAnsi="Arial" w:cs="Arial"/>
          <w:i/>
          <w:noProof/>
          <w:sz w:val="18"/>
          <w:szCs w:val="18"/>
          <w:lang w:val="en-US"/>
        </w:rPr>
        <w:t>: Tota</w:t>
      </w:r>
      <w:r w:rsidRPr="00FE73E4">
        <w:rPr>
          <w:rFonts w:ascii="Arial" w:hAnsi="Arial" w:cs="Arial"/>
          <w:i/>
          <w:sz w:val="18"/>
          <w:szCs w:val="18"/>
          <w:lang w:val="en-US"/>
        </w:rPr>
        <w:t xml:space="preserve">l completed office space (occupied and vacant), newly built since 1993 or refurbished, A and B class offices, owner occupied and for lease. </w:t>
      </w:r>
    </w:p>
    <w:p w14:paraId="40045689" w14:textId="77777777" w:rsidR="006A4F3A" w:rsidRPr="00FE73E4" w:rsidRDefault="006A4F3A" w:rsidP="006A4F3A">
      <w:pPr>
        <w:spacing w:before="120" w:after="120"/>
        <w:jc w:val="both"/>
        <w:outlineLvl w:val="0"/>
        <w:rPr>
          <w:rFonts w:ascii="Arial" w:hAnsi="Arial" w:cs="Arial"/>
          <w:i/>
          <w:noProof/>
          <w:sz w:val="18"/>
          <w:szCs w:val="18"/>
          <w:lang w:val="en-US"/>
        </w:rPr>
      </w:pPr>
      <w:r w:rsidRPr="00FE73E4">
        <w:rPr>
          <w:rFonts w:ascii="Arial" w:hAnsi="Arial" w:cs="Arial"/>
          <w:b/>
          <w:i/>
          <w:noProof/>
          <w:sz w:val="18"/>
          <w:szCs w:val="18"/>
          <w:lang w:val="en-US"/>
        </w:rPr>
        <w:t>New supply</w:t>
      </w:r>
      <w:r w:rsidRPr="00FE73E4">
        <w:rPr>
          <w:rFonts w:ascii="Arial" w:hAnsi="Arial" w:cs="Arial"/>
          <w:i/>
          <w:noProof/>
          <w:sz w:val="18"/>
          <w:szCs w:val="18"/>
          <w:lang w:val="en-US"/>
        </w:rPr>
        <w:t>: Completed newly built or refurbished buildings that obtained a use permit in the given period.</w:t>
      </w:r>
    </w:p>
    <w:p w14:paraId="01789F76" w14:textId="77777777" w:rsidR="006A4F3A" w:rsidRPr="00FE73E4" w:rsidRDefault="006A4F3A" w:rsidP="006A4F3A">
      <w:pPr>
        <w:overflowPunct w:val="0"/>
        <w:autoSpaceDE w:val="0"/>
        <w:autoSpaceDN w:val="0"/>
        <w:adjustRightInd w:val="0"/>
        <w:jc w:val="both"/>
        <w:textAlignment w:val="baseline"/>
        <w:rPr>
          <w:rFonts w:ascii="Arial" w:hAnsi="Arial" w:cs="Arial"/>
          <w:i/>
          <w:sz w:val="18"/>
          <w:szCs w:val="18"/>
          <w:lang w:val="en-US"/>
        </w:rPr>
      </w:pPr>
      <w:r w:rsidRPr="00FE73E4">
        <w:rPr>
          <w:rFonts w:ascii="Arial" w:hAnsi="Arial" w:cs="Arial"/>
          <w:b/>
          <w:i/>
          <w:noProof/>
          <w:sz w:val="18"/>
          <w:szCs w:val="18"/>
          <w:lang w:val="en-US"/>
        </w:rPr>
        <w:t>A-Class office building</w:t>
      </w:r>
      <w:r w:rsidRPr="00FE73E4">
        <w:rPr>
          <w:rFonts w:ascii="Arial" w:hAnsi="Arial" w:cs="Arial"/>
          <w:i/>
          <w:noProof/>
          <w:sz w:val="18"/>
          <w:szCs w:val="18"/>
          <w:lang w:val="en-US"/>
        </w:rPr>
        <w:t xml:space="preserve">: Reflects an above average fullfilment of the specific criteria including the following: integrated </w:t>
      </w:r>
      <w:r w:rsidRPr="00FE73E4">
        <w:rPr>
          <w:rFonts w:ascii="Arial" w:hAnsi="Arial" w:cs="Arial"/>
          <w:i/>
          <w:sz w:val="18"/>
          <w:szCs w:val="18"/>
          <w:lang w:val="en-US"/>
        </w:rPr>
        <w:t xml:space="preserve">air conditioning system, limited total floor depth, floor to ceiling height minimum of 2.75m, flexibility of internal design, either three compartment trunking for telephones, electricity and computer cable or raised floors/suspended ceilings, manned reception and covered access to car parking, lift access and disabled access, dual power supply and/or power supply system back-up. </w:t>
      </w:r>
    </w:p>
    <w:p w14:paraId="0B8A359B" w14:textId="61F934F0" w:rsidR="006A4F3A" w:rsidRPr="00FE73E4" w:rsidRDefault="006A4F3A" w:rsidP="006A4F3A">
      <w:pPr>
        <w:pStyle w:val="Heading1"/>
        <w:spacing w:before="120" w:after="120"/>
        <w:jc w:val="both"/>
        <w:rPr>
          <w:rFonts w:cs="Arial"/>
          <w:b w:val="0"/>
          <w:i/>
          <w:kern w:val="0"/>
          <w:sz w:val="18"/>
          <w:szCs w:val="18"/>
          <w:lang w:val="en-US"/>
        </w:rPr>
      </w:pPr>
      <w:r w:rsidRPr="00FE73E4">
        <w:rPr>
          <w:rFonts w:cs="Arial"/>
          <w:i/>
          <w:kern w:val="0"/>
          <w:sz w:val="18"/>
          <w:szCs w:val="18"/>
          <w:lang w:val="en-US"/>
        </w:rPr>
        <w:t>B-Class office building</w:t>
      </w:r>
      <w:r w:rsidRPr="00FE73E4">
        <w:rPr>
          <w:rFonts w:cs="Arial"/>
          <w:b w:val="0"/>
          <w:i/>
          <w:kern w:val="0"/>
          <w:sz w:val="18"/>
          <w:szCs w:val="18"/>
          <w:lang w:val="en-US"/>
        </w:rPr>
        <w:t>: Reflects an average or typical property in that market based on the above</w:t>
      </w:r>
      <w:r w:rsidR="00A61BA1">
        <w:rPr>
          <w:rFonts w:cs="Arial"/>
          <w:b w:val="0"/>
          <w:i/>
          <w:kern w:val="0"/>
          <w:sz w:val="18"/>
          <w:szCs w:val="18"/>
          <w:lang w:val="en-US"/>
        </w:rPr>
        <w:t xml:space="preserve"> </w:t>
      </w:r>
      <w:r w:rsidRPr="00FE73E4">
        <w:rPr>
          <w:rFonts w:cs="Arial"/>
          <w:b w:val="0"/>
          <w:i/>
          <w:kern w:val="0"/>
          <w:sz w:val="18"/>
          <w:szCs w:val="18"/>
          <w:lang w:val="en-US"/>
        </w:rPr>
        <w:t>mentioned criteria.</w:t>
      </w:r>
    </w:p>
    <w:p w14:paraId="50373694" w14:textId="77777777" w:rsidR="006A4F3A" w:rsidRPr="00FE73E4" w:rsidRDefault="006A4F3A" w:rsidP="006A4F3A">
      <w:pPr>
        <w:jc w:val="both"/>
        <w:outlineLvl w:val="0"/>
        <w:rPr>
          <w:rFonts w:ascii="Arial" w:hAnsi="Arial" w:cs="Arial"/>
          <w:i/>
          <w:sz w:val="18"/>
          <w:szCs w:val="18"/>
          <w:lang w:val="en-US"/>
        </w:rPr>
      </w:pPr>
      <w:r w:rsidRPr="00FE73E4">
        <w:rPr>
          <w:rFonts w:ascii="Arial" w:hAnsi="Arial" w:cs="Arial"/>
          <w:b/>
          <w:i/>
          <w:sz w:val="18"/>
          <w:szCs w:val="18"/>
          <w:lang w:val="en-US"/>
        </w:rPr>
        <w:t>Take-up</w:t>
      </w:r>
      <w:r w:rsidRPr="00FE73E4">
        <w:rPr>
          <w:rFonts w:ascii="Arial" w:hAnsi="Arial" w:cs="Arial"/>
          <w:i/>
          <w:sz w:val="18"/>
          <w:szCs w:val="18"/>
          <w:lang w:val="en-US"/>
        </w:rPr>
        <w:t>: A gross figure representing the total floor space known to have been let or pre-let, sold or pre-sold to tenants or owner-occupiers over a specified period of time. It does not include space that is under offer. A property is taken up when the contract is signed. Total take-up includes re-negotiations, net take-up excludes re-negotiations.</w:t>
      </w:r>
    </w:p>
    <w:p w14:paraId="7135A4BE" w14:textId="77777777" w:rsidR="006A4F3A" w:rsidRPr="00FE73E4" w:rsidRDefault="006A4F3A" w:rsidP="006A4F3A">
      <w:pPr>
        <w:spacing w:before="120"/>
        <w:jc w:val="both"/>
        <w:outlineLvl w:val="0"/>
        <w:rPr>
          <w:rFonts w:ascii="Arial" w:hAnsi="Arial" w:cs="Arial"/>
          <w:i/>
          <w:noProof/>
          <w:sz w:val="18"/>
          <w:szCs w:val="18"/>
          <w:lang w:val="en-US"/>
        </w:rPr>
      </w:pPr>
      <w:r w:rsidRPr="00FE73E4">
        <w:rPr>
          <w:rFonts w:ascii="Arial" w:hAnsi="Arial" w:cs="Arial"/>
          <w:b/>
          <w:i/>
          <w:noProof/>
          <w:sz w:val="18"/>
          <w:szCs w:val="18"/>
          <w:lang w:val="en-US"/>
        </w:rPr>
        <w:t>Pre-lease</w:t>
      </w:r>
      <w:r w:rsidRPr="00FE73E4">
        <w:rPr>
          <w:rFonts w:ascii="Arial" w:hAnsi="Arial" w:cs="Arial"/>
          <w:i/>
          <w:noProof/>
          <w:sz w:val="18"/>
          <w:szCs w:val="18"/>
          <w:lang w:val="en-US"/>
        </w:rPr>
        <w:t xml:space="preserve">: </w:t>
      </w:r>
      <w:r w:rsidRPr="00FE73E4">
        <w:rPr>
          <w:rFonts w:ascii="Arial" w:hAnsi="Arial" w:cs="Arial"/>
          <w:i/>
          <w:color w:val="000000"/>
          <w:sz w:val="18"/>
          <w:szCs w:val="18"/>
          <w:lang w:val="en-US" w:eastAsia="cs-CZ"/>
        </w:rPr>
        <w:t>Active pre-leasing for an office building begins as soon as preliminary design drawings are ready to show to prospective tenants. Pre-leasing occurs until the start of construction.</w:t>
      </w:r>
    </w:p>
    <w:p w14:paraId="31FDEE6E" w14:textId="3070CE34" w:rsidR="006A4F3A" w:rsidRPr="00FE73E4" w:rsidRDefault="006A4F3A" w:rsidP="006A4F3A">
      <w:pPr>
        <w:spacing w:before="120" w:after="120"/>
        <w:jc w:val="both"/>
        <w:outlineLvl w:val="0"/>
        <w:rPr>
          <w:rFonts w:ascii="Arial" w:hAnsi="Arial" w:cs="Arial"/>
          <w:i/>
          <w:noProof/>
          <w:sz w:val="18"/>
          <w:szCs w:val="18"/>
          <w:lang w:val="en-US"/>
        </w:rPr>
      </w:pPr>
      <w:r w:rsidRPr="00FE73E4">
        <w:rPr>
          <w:rFonts w:ascii="Arial" w:hAnsi="Arial" w:cs="Arial"/>
          <w:b/>
          <w:i/>
          <w:noProof/>
          <w:sz w:val="18"/>
          <w:szCs w:val="18"/>
          <w:lang w:val="en-US"/>
        </w:rPr>
        <w:t>Vacancy rate</w:t>
      </w:r>
      <w:r w:rsidRPr="00FE73E4">
        <w:rPr>
          <w:rFonts w:ascii="Arial" w:hAnsi="Arial" w:cs="Arial"/>
          <w:i/>
          <w:noProof/>
          <w:sz w:val="18"/>
          <w:szCs w:val="18"/>
          <w:lang w:val="en-US"/>
        </w:rPr>
        <w:t>: Ratio of physically vacant space in completed buildings as a percentage of the total stock.</w:t>
      </w:r>
    </w:p>
    <w:p w14:paraId="75B0D0E4" w14:textId="77777777" w:rsidR="006A4F3A" w:rsidRPr="00FE73E4" w:rsidRDefault="006A4F3A" w:rsidP="006A4F3A">
      <w:pPr>
        <w:jc w:val="both"/>
        <w:rPr>
          <w:rFonts w:ascii="Arial" w:hAnsi="Arial" w:cs="Arial"/>
          <w:i/>
          <w:sz w:val="18"/>
          <w:szCs w:val="18"/>
          <w:lang w:val="en-US"/>
        </w:rPr>
      </w:pPr>
      <w:r w:rsidRPr="00FE73E4">
        <w:rPr>
          <w:rFonts w:ascii="Arial" w:hAnsi="Arial" w:cs="Arial"/>
          <w:b/>
          <w:i/>
          <w:sz w:val="18"/>
          <w:szCs w:val="18"/>
          <w:lang w:val="en-US"/>
        </w:rPr>
        <w:t>Prime rent</w:t>
      </w:r>
      <w:r w:rsidRPr="00FE73E4">
        <w:rPr>
          <w:rFonts w:ascii="Arial" w:hAnsi="Arial" w:cs="Arial"/>
          <w:i/>
          <w:sz w:val="18"/>
          <w:szCs w:val="18"/>
          <w:lang w:val="en-US"/>
        </w:rPr>
        <w:t xml:space="preserve">: Achieved rents that relate to new prime, high specification units in prime locations. </w:t>
      </w:r>
    </w:p>
    <w:p w14:paraId="0ADBA593" w14:textId="2B9271E2" w:rsidR="00710C2A" w:rsidRPr="00FE73E4" w:rsidRDefault="00710C2A" w:rsidP="006A4F3A">
      <w:pPr>
        <w:spacing w:before="120"/>
        <w:jc w:val="both"/>
        <w:outlineLvl w:val="0"/>
        <w:rPr>
          <w:rFonts w:ascii="Arial" w:hAnsi="Arial" w:cs="Arial"/>
          <w:b/>
          <w:bCs/>
          <w:color w:val="000000"/>
          <w:sz w:val="18"/>
          <w:szCs w:val="18"/>
          <w:lang w:val="en-US"/>
        </w:rPr>
      </w:pPr>
    </w:p>
    <w:p w14:paraId="276BB1A6" w14:textId="77777777" w:rsidR="00710C2A" w:rsidRPr="00FE73E4" w:rsidRDefault="00710C2A" w:rsidP="00864EA6">
      <w:pPr>
        <w:outlineLvl w:val="0"/>
        <w:rPr>
          <w:rFonts w:ascii="Arial" w:hAnsi="Arial" w:cs="Arial"/>
          <w:b/>
          <w:sz w:val="18"/>
          <w:szCs w:val="18"/>
          <w:lang w:val="en-US"/>
        </w:rPr>
      </w:pPr>
    </w:p>
    <w:p w14:paraId="698AFE73" w14:textId="77777777" w:rsidR="00710C2A" w:rsidRPr="00FE73E4" w:rsidRDefault="00710C2A" w:rsidP="00864EA6">
      <w:pPr>
        <w:outlineLvl w:val="0"/>
        <w:rPr>
          <w:rFonts w:ascii="Arial" w:hAnsi="Arial" w:cs="Arial"/>
          <w:b/>
          <w:sz w:val="18"/>
          <w:szCs w:val="18"/>
          <w:lang w:val="en-US"/>
        </w:rPr>
      </w:pPr>
    </w:p>
    <w:p w14:paraId="1450771E" w14:textId="77777777" w:rsidR="00710C2A" w:rsidRPr="00FE73E4" w:rsidRDefault="00710C2A" w:rsidP="00864EA6">
      <w:pPr>
        <w:outlineLvl w:val="0"/>
        <w:rPr>
          <w:rFonts w:ascii="Arial" w:hAnsi="Arial" w:cs="Arial"/>
          <w:b/>
          <w:sz w:val="18"/>
          <w:szCs w:val="18"/>
          <w:lang w:val="en-US"/>
        </w:rPr>
      </w:pPr>
    </w:p>
    <w:p w14:paraId="6DF67E9B" w14:textId="77777777" w:rsidR="00710C2A" w:rsidRPr="00FE73E4" w:rsidRDefault="00710C2A" w:rsidP="00864EA6">
      <w:pPr>
        <w:outlineLvl w:val="0"/>
        <w:rPr>
          <w:rFonts w:ascii="Arial" w:hAnsi="Arial" w:cs="Arial"/>
          <w:b/>
          <w:sz w:val="18"/>
          <w:szCs w:val="18"/>
          <w:lang w:val="en-US"/>
        </w:rPr>
      </w:pPr>
    </w:p>
    <w:p w14:paraId="2463EFCE" w14:textId="77777777" w:rsidR="00710C2A" w:rsidRPr="00FE73E4" w:rsidRDefault="00710C2A" w:rsidP="00864EA6">
      <w:pPr>
        <w:autoSpaceDE w:val="0"/>
        <w:autoSpaceDN w:val="0"/>
        <w:adjustRightInd w:val="0"/>
        <w:spacing w:after="20"/>
        <w:rPr>
          <w:rFonts w:ascii="Arial" w:hAnsi="Arial" w:cs="Arial"/>
          <w:b/>
          <w:lang w:val="en-US"/>
        </w:rPr>
      </w:pPr>
    </w:p>
    <w:p w14:paraId="28F3701A" w14:textId="77777777" w:rsidR="00710C2A" w:rsidRPr="00FE73E4" w:rsidRDefault="00710C2A" w:rsidP="00864EA6">
      <w:pPr>
        <w:autoSpaceDE w:val="0"/>
        <w:autoSpaceDN w:val="0"/>
        <w:adjustRightInd w:val="0"/>
        <w:spacing w:after="20"/>
        <w:rPr>
          <w:rFonts w:ascii="Arial" w:hAnsi="Arial" w:cs="Arial"/>
          <w:b/>
          <w:lang w:val="en-US"/>
        </w:rPr>
      </w:pPr>
    </w:p>
    <w:p w14:paraId="1E206D1D" w14:textId="77777777" w:rsidR="00710C2A" w:rsidRPr="00FE73E4" w:rsidRDefault="00710C2A" w:rsidP="00864EA6">
      <w:pPr>
        <w:autoSpaceDE w:val="0"/>
        <w:autoSpaceDN w:val="0"/>
        <w:adjustRightInd w:val="0"/>
        <w:spacing w:after="20"/>
        <w:rPr>
          <w:rFonts w:ascii="Arial" w:hAnsi="Arial" w:cs="Arial"/>
          <w:b/>
          <w:lang w:val="en-US"/>
        </w:rPr>
      </w:pPr>
    </w:p>
    <w:p w14:paraId="29AD1E7F" w14:textId="77777777" w:rsidR="00ED63F2" w:rsidRPr="00FE73E4" w:rsidRDefault="00ED63F2" w:rsidP="00864EA6">
      <w:pPr>
        <w:autoSpaceDE w:val="0"/>
        <w:autoSpaceDN w:val="0"/>
        <w:adjustRightInd w:val="0"/>
        <w:spacing w:after="20"/>
        <w:rPr>
          <w:rFonts w:ascii="Arial" w:hAnsi="Arial" w:cs="Arial"/>
          <w:b/>
          <w:lang w:val="en-US"/>
        </w:rPr>
      </w:pPr>
    </w:p>
    <w:p w14:paraId="7177BB16" w14:textId="77777777" w:rsidR="00ED63F2" w:rsidRPr="00FE73E4" w:rsidRDefault="00ED63F2" w:rsidP="00864EA6">
      <w:pPr>
        <w:autoSpaceDE w:val="0"/>
        <w:autoSpaceDN w:val="0"/>
        <w:adjustRightInd w:val="0"/>
        <w:spacing w:after="20"/>
        <w:rPr>
          <w:rFonts w:ascii="Arial" w:hAnsi="Arial" w:cs="Arial"/>
          <w:b/>
          <w:lang w:val="en-US"/>
        </w:rPr>
      </w:pPr>
    </w:p>
    <w:p w14:paraId="5B3DDE61" w14:textId="6B73CD5C" w:rsidR="006A4F3A" w:rsidRDefault="006A4F3A" w:rsidP="006A4F3A">
      <w:pPr>
        <w:autoSpaceDE w:val="0"/>
        <w:autoSpaceDN w:val="0"/>
        <w:adjustRightInd w:val="0"/>
        <w:spacing w:after="20"/>
        <w:jc w:val="both"/>
        <w:rPr>
          <w:rFonts w:ascii="Arial" w:hAnsi="Arial" w:cs="Arial"/>
          <w:b/>
          <w:lang w:val="en-US" w:eastAsia="cs-CZ"/>
        </w:rPr>
      </w:pPr>
      <w:bookmarkStart w:id="5" w:name="OLE_LINK7"/>
      <w:bookmarkStart w:id="6" w:name="OLE_LINK8"/>
    </w:p>
    <w:p w14:paraId="485F1B36" w14:textId="77777777" w:rsidR="00A61BA1" w:rsidRDefault="00A61BA1" w:rsidP="006A4F3A">
      <w:pPr>
        <w:autoSpaceDE w:val="0"/>
        <w:autoSpaceDN w:val="0"/>
        <w:adjustRightInd w:val="0"/>
        <w:spacing w:after="20"/>
        <w:jc w:val="both"/>
        <w:rPr>
          <w:rFonts w:ascii="Arial" w:hAnsi="Arial" w:cs="Arial"/>
          <w:b/>
          <w:lang w:val="en-US" w:eastAsia="cs-CZ"/>
        </w:rPr>
      </w:pPr>
    </w:p>
    <w:p w14:paraId="2CE2B92F" w14:textId="77777777" w:rsidR="00EC66E6" w:rsidRPr="00FE73E4" w:rsidRDefault="00EC66E6" w:rsidP="006A4F3A">
      <w:pPr>
        <w:autoSpaceDE w:val="0"/>
        <w:autoSpaceDN w:val="0"/>
        <w:adjustRightInd w:val="0"/>
        <w:spacing w:after="20"/>
        <w:jc w:val="both"/>
        <w:rPr>
          <w:rFonts w:ascii="Arial" w:hAnsi="Arial" w:cs="Arial"/>
          <w:b/>
          <w:lang w:val="en-US" w:eastAsia="cs-CZ"/>
        </w:rPr>
      </w:pPr>
    </w:p>
    <w:p w14:paraId="7B6F9BEC" w14:textId="77777777" w:rsidR="006A4F3A" w:rsidRPr="00FE73E4" w:rsidRDefault="006A4F3A" w:rsidP="006A4F3A">
      <w:pPr>
        <w:autoSpaceDE w:val="0"/>
        <w:autoSpaceDN w:val="0"/>
        <w:adjustRightInd w:val="0"/>
        <w:spacing w:after="20"/>
        <w:jc w:val="both"/>
        <w:rPr>
          <w:rFonts w:ascii="Arial" w:hAnsi="Arial" w:cs="Arial"/>
          <w:b/>
          <w:lang w:val="en-US" w:eastAsia="cs-CZ"/>
        </w:rPr>
      </w:pPr>
    </w:p>
    <w:p w14:paraId="1ED9C25A" w14:textId="77777777" w:rsidR="006A4F3A" w:rsidRPr="00FE73E4" w:rsidRDefault="006A4F3A" w:rsidP="006A4F3A">
      <w:pPr>
        <w:autoSpaceDE w:val="0"/>
        <w:autoSpaceDN w:val="0"/>
        <w:adjustRightInd w:val="0"/>
        <w:spacing w:after="20"/>
        <w:jc w:val="both"/>
        <w:rPr>
          <w:rFonts w:ascii="Arial" w:hAnsi="Arial" w:cs="Arial"/>
          <w:b/>
          <w:lang w:val="en-US" w:eastAsia="cs-CZ"/>
        </w:rPr>
      </w:pPr>
    </w:p>
    <w:p w14:paraId="66F307C4" w14:textId="3FEEA8C8" w:rsidR="006A4F3A" w:rsidRPr="00FE73E4" w:rsidRDefault="006A4F3A" w:rsidP="006A4F3A">
      <w:pPr>
        <w:autoSpaceDE w:val="0"/>
        <w:autoSpaceDN w:val="0"/>
        <w:adjustRightInd w:val="0"/>
        <w:spacing w:after="20"/>
        <w:jc w:val="both"/>
        <w:rPr>
          <w:rFonts w:ascii="Arial" w:hAnsi="Arial" w:cs="Arial"/>
          <w:b/>
          <w:lang w:val="en-US" w:eastAsia="cs-CZ"/>
        </w:rPr>
      </w:pPr>
      <w:bookmarkStart w:id="7" w:name="_Hlk70600594"/>
      <w:r w:rsidRPr="00FE73E4">
        <w:rPr>
          <w:rFonts w:ascii="Arial" w:hAnsi="Arial" w:cs="Arial"/>
          <w:b/>
          <w:lang w:val="en-US" w:eastAsia="cs-CZ"/>
        </w:rPr>
        <w:t xml:space="preserve">COPYRIGHT </w:t>
      </w:r>
      <w:r w:rsidR="00D63D3E" w:rsidRPr="00FE73E4">
        <w:rPr>
          <w:rFonts w:ascii="Arial" w:hAnsi="Arial" w:cs="Arial"/>
          <w:b/>
          <w:lang w:val="en-US" w:eastAsia="cs-CZ"/>
        </w:rPr>
        <w:t>© Bratislava Research Forum 20</w:t>
      </w:r>
      <w:r w:rsidR="00A61BA1">
        <w:rPr>
          <w:rFonts w:ascii="Arial" w:hAnsi="Arial" w:cs="Arial"/>
          <w:b/>
          <w:lang w:val="en-US" w:eastAsia="cs-CZ"/>
        </w:rPr>
        <w:t>2</w:t>
      </w:r>
      <w:r w:rsidR="003064CB">
        <w:rPr>
          <w:rFonts w:ascii="Arial" w:hAnsi="Arial" w:cs="Arial"/>
          <w:b/>
          <w:lang w:val="en-US" w:eastAsia="cs-CZ"/>
        </w:rPr>
        <w:t>2</w:t>
      </w:r>
    </w:p>
    <w:p w14:paraId="147DDF18" w14:textId="200B666A" w:rsidR="006A4F3A" w:rsidRPr="00FE73E4" w:rsidRDefault="006A4F3A" w:rsidP="006A4F3A">
      <w:pPr>
        <w:jc w:val="both"/>
        <w:outlineLvl w:val="0"/>
        <w:rPr>
          <w:rFonts w:ascii="Arial" w:hAnsi="Arial" w:cs="Arial"/>
          <w:lang w:val="en-US" w:eastAsia="cs-CZ"/>
        </w:rPr>
      </w:pPr>
      <w:r w:rsidRPr="00FE73E4">
        <w:rPr>
          <w:rFonts w:ascii="Arial" w:hAnsi="Arial" w:cs="Arial"/>
          <w:lang w:val="en-US" w:eastAsia="cs-CZ"/>
        </w:rPr>
        <w:t>This publication is the sole property of the Bratislava Research Forum, (Members: Cushman and Wakefield, CBRE, Colliers International and Jones Lang LaSalle) and must not be copied, reproduced or transmitted in any form or by any means, either in whole or in part, without the prior written consent of the Bratislava Research Forum. The information contained in this publication has been obtained from sources generally regarded to be reliable. However, no representation is made, or warranty given, in respect of the accuracy of this information.  We would like to be informed of any inaccuracies so that we may correct them. The Bratislava Research Forum, does not accept any liability in negligence or otherwise for any loss or damage suffered by any party resulting from reliance on this publication.</w:t>
      </w:r>
      <w:bookmarkEnd w:id="5"/>
      <w:bookmarkEnd w:id="6"/>
    </w:p>
    <w:bookmarkEnd w:id="7"/>
    <w:p w14:paraId="17815208" w14:textId="77777777" w:rsidR="00864EA6" w:rsidRPr="00FE73E4" w:rsidRDefault="00864EA6" w:rsidP="00E44F22">
      <w:pPr>
        <w:ind w:left="1440"/>
        <w:jc w:val="both"/>
        <w:rPr>
          <w:rFonts w:ascii="Garamond" w:hAnsi="Garamond"/>
          <w:sz w:val="24"/>
          <w:lang w:val="en-US"/>
        </w:rPr>
      </w:pPr>
      <w:r w:rsidRPr="00FE73E4">
        <w:rPr>
          <w:rFonts w:ascii="Garamond" w:hAnsi="Garamond"/>
          <w:sz w:val="24"/>
          <w:lang w:val="en-US"/>
        </w:rPr>
        <w:tab/>
      </w:r>
      <w:r w:rsidRPr="00FE73E4">
        <w:rPr>
          <w:rFonts w:ascii="Garamond" w:hAnsi="Garamond"/>
          <w:sz w:val="24"/>
          <w:lang w:val="en-US"/>
        </w:rPr>
        <w:tab/>
      </w:r>
      <w:r w:rsidRPr="00FE73E4">
        <w:rPr>
          <w:rFonts w:ascii="Garamond" w:hAnsi="Garamond"/>
          <w:sz w:val="24"/>
          <w:lang w:val="en-US"/>
        </w:rPr>
        <w:tab/>
      </w:r>
      <w:r w:rsidRPr="00FE73E4">
        <w:rPr>
          <w:rFonts w:ascii="Garamond" w:hAnsi="Garamond"/>
          <w:sz w:val="24"/>
          <w:lang w:val="en-US"/>
        </w:rPr>
        <w:tab/>
      </w:r>
    </w:p>
    <w:p w14:paraId="6251231B" w14:textId="3927B4D0" w:rsidR="00306928" w:rsidRPr="00FE73E4" w:rsidRDefault="006159F8" w:rsidP="00710C2A">
      <w:pPr>
        <w:jc w:val="both"/>
        <w:outlineLvl w:val="0"/>
        <w:rPr>
          <w:rFonts w:ascii="Arial" w:hAnsi="Arial" w:cs="Arial"/>
          <w:lang w:val="en-US" w:eastAsia="cs-CZ"/>
        </w:rPr>
      </w:pPr>
      <w:r w:rsidRPr="00FE73E4">
        <w:rPr>
          <w:rFonts w:ascii="Arial" w:hAnsi="Arial" w:cs="Arial"/>
          <w:noProof/>
          <w:lang w:val="en-US"/>
        </w:rPr>
        <w:drawing>
          <wp:anchor distT="0" distB="0" distL="114300" distR="114300" simplePos="0" relativeHeight="251684864" behindDoc="0" locked="0" layoutInCell="1" allowOverlap="1" wp14:anchorId="4350716B" wp14:editId="4C0F9C0C">
            <wp:simplePos x="0" y="0"/>
            <wp:positionH relativeFrom="column">
              <wp:posOffset>659765</wp:posOffset>
            </wp:positionH>
            <wp:positionV relativeFrom="paragraph">
              <wp:posOffset>278765</wp:posOffset>
            </wp:positionV>
            <wp:extent cx="1123950" cy="542925"/>
            <wp:effectExtent l="0" t="0" r="0" b="9525"/>
            <wp:wrapThrough wrapText="bothSides">
              <wp:wrapPolygon edited="0">
                <wp:start x="0" y="0"/>
                <wp:lineTo x="0" y="21221"/>
                <wp:lineTo x="21234" y="21221"/>
                <wp:lineTo x="21234" y="0"/>
                <wp:lineTo x="0" y="0"/>
              </wp:wrapPolygon>
            </wp:wrapThrough>
            <wp:docPr id="20" name="Picture 20" descr="2011_CBR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1_CBRE_Logo_Gre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542925"/>
                    </a:xfrm>
                    <a:prstGeom prst="rect">
                      <a:avLst/>
                    </a:prstGeom>
                    <a:noFill/>
                    <a:ln w="9525">
                      <a:noFill/>
                      <a:miter lim="800000"/>
                      <a:headEnd/>
                      <a:tailEnd/>
                    </a:ln>
                  </pic:spPr>
                </pic:pic>
              </a:graphicData>
            </a:graphic>
          </wp:anchor>
        </w:drawing>
      </w:r>
      <w:r w:rsidR="008E1B99" w:rsidRPr="00FE73E4">
        <w:rPr>
          <w:rFonts w:ascii="Arial" w:hAnsi="Arial" w:cs="Arial"/>
          <w:noProof/>
          <w:lang w:val="en-US"/>
        </w:rPr>
        <w:drawing>
          <wp:anchor distT="0" distB="0" distL="114300" distR="114300" simplePos="0" relativeHeight="251664384" behindDoc="0" locked="0" layoutInCell="1" allowOverlap="1" wp14:anchorId="20E97E0C" wp14:editId="1B03FB27">
            <wp:simplePos x="0" y="0"/>
            <wp:positionH relativeFrom="column">
              <wp:posOffset>507365</wp:posOffset>
            </wp:positionH>
            <wp:positionV relativeFrom="paragraph">
              <wp:posOffset>180975</wp:posOffset>
            </wp:positionV>
            <wp:extent cx="1123950" cy="542925"/>
            <wp:effectExtent l="0" t="0" r="0" b="9525"/>
            <wp:wrapThrough wrapText="bothSides">
              <wp:wrapPolygon edited="0">
                <wp:start x="0" y="0"/>
                <wp:lineTo x="0" y="21221"/>
                <wp:lineTo x="21234" y="21221"/>
                <wp:lineTo x="21234" y="0"/>
                <wp:lineTo x="0" y="0"/>
              </wp:wrapPolygon>
            </wp:wrapThrough>
            <wp:docPr id="6" name="Picture 6" descr="2011_CBR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1_CBRE_Logo_Gre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542925"/>
                    </a:xfrm>
                    <a:prstGeom prst="rect">
                      <a:avLst/>
                    </a:prstGeom>
                    <a:noFill/>
                    <a:ln w="9525">
                      <a:noFill/>
                      <a:miter lim="800000"/>
                      <a:headEnd/>
                      <a:tailEnd/>
                    </a:ln>
                  </pic:spPr>
                </pic:pic>
              </a:graphicData>
            </a:graphic>
          </wp:anchor>
        </w:drawing>
      </w:r>
      <w:r w:rsidR="008E1B99">
        <w:rPr>
          <w:rFonts w:ascii="Arial" w:hAnsi="Arial" w:cs="Arial"/>
          <w:noProof/>
          <w:lang w:val="en-US" w:eastAsia="cs-CZ"/>
        </w:rPr>
        <w:drawing>
          <wp:anchor distT="0" distB="0" distL="114300" distR="114300" simplePos="0" relativeHeight="251682816" behindDoc="1" locked="0" layoutInCell="1" allowOverlap="1" wp14:anchorId="39609299" wp14:editId="6A42CCEC">
            <wp:simplePos x="0" y="0"/>
            <wp:positionH relativeFrom="column">
              <wp:posOffset>3623310</wp:posOffset>
            </wp:positionH>
            <wp:positionV relativeFrom="paragraph">
              <wp:posOffset>201295</wp:posOffset>
            </wp:positionV>
            <wp:extent cx="944880" cy="542290"/>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4880" cy="542290"/>
                    </a:xfrm>
                    <a:prstGeom prst="rect">
                      <a:avLst/>
                    </a:prstGeom>
                    <a:noFill/>
                  </pic:spPr>
                </pic:pic>
              </a:graphicData>
            </a:graphic>
          </wp:anchor>
        </w:drawing>
      </w:r>
      <w:r w:rsidR="008E1B99" w:rsidRPr="00FE73E4">
        <w:rPr>
          <w:rFonts w:ascii="Arial" w:hAnsi="Arial" w:cs="Arial"/>
          <w:noProof/>
          <w:lang w:val="en-US"/>
        </w:rPr>
        <w:drawing>
          <wp:anchor distT="0" distB="0" distL="114300" distR="114300" simplePos="0" relativeHeight="251667456" behindDoc="0" locked="0" layoutInCell="1" allowOverlap="1" wp14:anchorId="16D9974E" wp14:editId="2226A9AB">
            <wp:simplePos x="0" y="0"/>
            <wp:positionH relativeFrom="margin">
              <wp:align>right</wp:align>
            </wp:positionH>
            <wp:positionV relativeFrom="paragraph">
              <wp:posOffset>295275</wp:posOffset>
            </wp:positionV>
            <wp:extent cx="1621790" cy="337820"/>
            <wp:effectExtent l="0" t="0" r="0" b="5080"/>
            <wp:wrapThrough wrapText="bothSides">
              <wp:wrapPolygon edited="0">
                <wp:start x="2537" y="0"/>
                <wp:lineTo x="0" y="8526"/>
                <wp:lineTo x="0" y="20707"/>
                <wp:lineTo x="21312" y="20707"/>
                <wp:lineTo x="21312" y="2436"/>
                <wp:lineTo x="3806" y="0"/>
                <wp:lineTo x="2537"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1790" cy="337820"/>
                    </a:xfrm>
                    <a:prstGeom prst="rect">
                      <a:avLst/>
                    </a:prstGeom>
                    <a:noFill/>
                  </pic:spPr>
                </pic:pic>
              </a:graphicData>
            </a:graphic>
            <wp14:sizeRelH relativeFrom="margin">
              <wp14:pctWidth>0</wp14:pctWidth>
            </wp14:sizeRelH>
            <wp14:sizeRelV relativeFrom="margin">
              <wp14:pctHeight>0</wp14:pctHeight>
            </wp14:sizeRelV>
          </wp:anchor>
        </w:drawing>
      </w:r>
      <w:r w:rsidR="000F7280" w:rsidRPr="00FE73E4">
        <w:rPr>
          <w:rFonts w:ascii="Arial" w:hAnsi="Arial" w:cs="Arial"/>
          <w:noProof/>
          <w:lang w:val="en-US"/>
        </w:rPr>
        <w:drawing>
          <wp:anchor distT="0" distB="0" distL="114300" distR="114300" simplePos="0" relativeHeight="251665408" behindDoc="0" locked="0" layoutInCell="1" allowOverlap="1" wp14:anchorId="56A9DA9B" wp14:editId="71C0F015">
            <wp:simplePos x="0" y="0"/>
            <wp:positionH relativeFrom="column">
              <wp:posOffset>2025015</wp:posOffset>
            </wp:positionH>
            <wp:positionV relativeFrom="paragraph">
              <wp:posOffset>182245</wp:posOffset>
            </wp:positionV>
            <wp:extent cx="1079500" cy="479425"/>
            <wp:effectExtent l="0" t="0" r="6350" b="0"/>
            <wp:wrapThrough wrapText="bothSides">
              <wp:wrapPolygon edited="0">
                <wp:start x="0" y="0"/>
                <wp:lineTo x="0" y="20599"/>
                <wp:lineTo x="21346" y="20599"/>
                <wp:lineTo x="21346" y="0"/>
                <wp:lineTo x="0" y="0"/>
              </wp:wrapPolygon>
            </wp:wrapThrough>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9500" cy="479425"/>
                    </a:xfrm>
                    <a:prstGeom prst="rect">
                      <a:avLst/>
                    </a:prstGeom>
                  </pic:spPr>
                </pic:pic>
              </a:graphicData>
            </a:graphic>
          </wp:anchor>
        </w:drawing>
      </w:r>
    </w:p>
    <w:sectPr w:rsidR="00306928" w:rsidRPr="00FE73E4" w:rsidSect="00FC3D77">
      <w:pgSz w:w="11906" w:h="16838" w:code="9"/>
      <w:pgMar w:top="719"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76BB1"/>
    <w:multiLevelType w:val="hybridMultilevel"/>
    <w:tmpl w:val="DD20A8C0"/>
    <w:lvl w:ilvl="0" w:tplc="A24EF634">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69BE790F"/>
    <w:multiLevelType w:val="hybridMultilevel"/>
    <w:tmpl w:val="06B22470"/>
    <w:lvl w:ilvl="0" w:tplc="83A4889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A8"/>
    <w:rsid w:val="000007E9"/>
    <w:rsid w:val="00004B97"/>
    <w:rsid w:val="00006E17"/>
    <w:rsid w:val="00006E5B"/>
    <w:rsid w:val="0001272D"/>
    <w:rsid w:val="00013C1B"/>
    <w:rsid w:val="00015242"/>
    <w:rsid w:val="00022860"/>
    <w:rsid w:val="000237A1"/>
    <w:rsid w:val="00023B64"/>
    <w:rsid w:val="00027984"/>
    <w:rsid w:val="000345E4"/>
    <w:rsid w:val="00034978"/>
    <w:rsid w:val="00035B15"/>
    <w:rsid w:val="00036EA0"/>
    <w:rsid w:val="00040F30"/>
    <w:rsid w:val="00042713"/>
    <w:rsid w:val="00044C40"/>
    <w:rsid w:val="00045731"/>
    <w:rsid w:val="00050D85"/>
    <w:rsid w:val="00052990"/>
    <w:rsid w:val="00057489"/>
    <w:rsid w:val="0006226E"/>
    <w:rsid w:val="0006684F"/>
    <w:rsid w:val="00071548"/>
    <w:rsid w:val="00071BE2"/>
    <w:rsid w:val="000813DC"/>
    <w:rsid w:val="00084F59"/>
    <w:rsid w:val="000870CC"/>
    <w:rsid w:val="000902C2"/>
    <w:rsid w:val="000919F1"/>
    <w:rsid w:val="00093955"/>
    <w:rsid w:val="000940C0"/>
    <w:rsid w:val="00096504"/>
    <w:rsid w:val="000965A2"/>
    <w:rsid w:val="000A23D9"/>
    <w:rsid w:val="000A3769"/>
    <w:rsid w:val="000A613F"/>
    <w:rsid w:val="000A6B60"/>
    <w:rsid w:val="000B45ED"/>
    <w:rsid w:val="000C2FC8"/>
    <w:rsid w:val="000C3A5A"/>
    <w:rsid w:val="000C522F"/>
    <w:rsid w:val="000D0616"/>
    <w:rsid w:val="000E32E3"/>
    <w:rsid w:val="000E5F4B"/>
    <w:rsid w:val="000E7003"/>
    <w:rsid w:val="000E79F5"/>
    <w:rsid w:val="000F0CE0"/>
    <w:rsid w:val="000F1700"/>
    <w:rsid w:val="000F37DC"/>
    <w:rsid w:val="000F38E3"/>
    <w:rsid w:val="000F7280"/>
    <w:rsid w:val="000F7D45"/>
    <w:rsid w:val="00102FAB"/>
    <w:rsid w:val="00103B32"/>
    <w:rsid w:val="0010799D"/>
    <w:rsid w:val="00110D5A"/>
    <w:rsid w:val="001148D3"/>
    <w:rsid w:val="00115386"/>
    <w:rsid w:val="00121D27"/>
    <w:rsid w:val="00130A9B"/>
    <w:rsid w:val="00132B02"/>
    <w:rsid w:val="00134D2A"/>
    <w:rsid w:val="001368E2"/>
    <w:rsid w:val="00136E24"/>
    <w:rsid w:val="00136EFA"/>
    <w:rsid w:val="001400DA"/>
    <w:rsid w:val="00143A8E"/>
    <w:rsid w:val="00145B44"/>
    <w:rsid w:val="00150F93"/>
    <w:rsid w:val="001539E6"/>
    <w:rsid w:val="00160F2A"/>
    <w:rsid w:val="00160FAA"/>
    <w:rsid w:val="00163524"/>
    <w:rsid w:val="00164A6A"/>
    <w:rsid w:val="00164EBA"/>
    <w:rsid w:val="00170BD7"/>
    <w:rsid w:val="00171FF5"/>
    <w:rsid w:val="001864D7"/>
    <w:rsid w:val="00190E30"/>
    <w:rsid w:val="00192DDF"/>
    <w:rsid w:val="001A04D3"/>
    <w:rsid w:val="001A4A53"/>
    <w:rsid w:val="001A52D9"/>
    <w:rsid w:val="001A5D69"/>
    <w:rsid w:val="001A7363"/>
    <w:rsid w:val="001A77B7"/>
    <w:rsid w:val="001B09A2"/>
    <w:rsid w:val="001B2208"/>
    <w:rsid w:val="001B330E"/>
    <w:rsid w:val="001B4576"/>
    <w:rsid w:val="001B5CD8"/>
    <w:rsid w:val="001B5EE1"/>
    <w:rsid w:val="001B6BBF"/>
    <w:rsid w:val="001B7863"/>
    <w:rsid w:val="001C0363"/>
    <w:rsid w:val="001C3017"/>
    <w:rsid w:val="001C3271"/>
    <w:rsid w:val="001C3F62"/>
    <w:rsid w:val="001C7D09"/>
    <w:rsid w:val="001D0F6A"/>
    <w:rsid w:val="001E1133"/>
    <w:rsid w:val="001E3F8B"/>
    <w:rsid w:val="001F18D5"/>
    <w:rsid w:val="001F19F2"/>
    <w:rsid w:val="001F1E24"/>
    <w:rsid w:val="001F2C85"/>
    <w:rsid w:val="001F4613"/>
    <w:rsid w:val="001F465E"/>
    <w:rsid w:val="001F4D06"/>
    <w:rsid w:val="001F51E6"/>
    <w:rsid w:val="00202781"/>
    <w:rsid w:val="002072DC"/>
    <w:rsid w:val="00214AF3"/>
    <w:rsid w:val="00217191"/>
    <w:rsid w:val="00217518"/>
    <w:rsid w:val="00220615"/>
    <w:rsid w:val="00220CE3"/>
    <w:rsid w:val="0022736C"/>
    <w:rsid w:val="00231A31"/>
    <w:rsid w:val="00236AEB"/>
    <w:rsid w:val="002408E6"/>
    <w:rsid w:val="00246365"/>
    <w:rsid w:val="00251632"/>
    <w:rsid w:val="002544A6"/>
    <w:rsid w:val="002645AC"/>
    <w:rsid w:val="0027232A"/>
    <w:rsid w:val="00275CC4"/>
    <w:rsid w:val="002770AE"/>
    <w:rsid w:val="00281A03"/>
    <w:rsid w:val="00283B90"/>
    <w:rsid w:val="00290A76"/>
    <w:rsid w:val="0029146B"/>
    <w:rsid w:val="002914A2"/>
    <w:rsid w:val="002915F5"/>
    <w:rsid w:val="0029228E"/>
    <w:rsid w:val="002A2D11"/>
    <w:rsid w:val="002A350B"/>
    <w:rsid w:val="002A39F0"/>
    <w:rsid w:val="002A3AAE"/>
    <w:rsid w:val="002A4C88"/>
    <w:rsid w:val="002A65B6"/>
    <w:rsid w:val="002B0A58"/>
    <w:rsid w:val="002B0F3A"/>
    <w:rsid w:val="002B28FB"/>
    <w:rsid w:val="002B2D8D"/>
    <w:rsid w:val="002B48C5"/>
    <w:rsid w:val="002C6983"/>
    <w:rsid w:val="002D04D7"/>
    <w:rsid w:val="002D0D86"/>
    <w:rsid w:val="002D2A6F"/>
    <w:rsid w:val="002D3789"/>
    <w:rsid w:val="002D608D"/>
    <w:rsid w:val="002D6EE1"/>
    <w:rsid w:val="002E0AF4"/>
    <w:rsid w:val="002E2D26"/>
    <w:rsid w:val="002F0243"/>
    <w:rsid w:val="002F383C"/>
    <w:rsid w:val="002F4B24"/>
    <w:rsid w:val="00303AAA"/>
    <w:rsid w:val="00304963"/>
    <w:rsid w:val="00304E41"/>
    <w:rsid w:val="003059E1"/>
    <w:rsid w:val="00305CEF"/>
    <w:rsid w:val="003064CB"/>
    <w:rsid w:val="00306928"/>
    <w:rsid w:val="0031162E"/>
    <w:rsid w:val="0031565B"/>
    <w:rsid w:val="0031757D"/>
    <w:rsid w:val="00321155"/>
    <w:rsid w:val="00330118"/>
    <w:rsid w:val="0033599D"/>
    <w:rsid w:val="0033638E"/>
    <w:rsid w:val="00337C46"/>
    <w:rsid w:val="003446CD"/>
    <w:rsid w:val="0034610A"/>
    <w:rsid w:val="00346BAF"/>
    <w:rsid w:val="00347F4C"/>
    <w:rsid w:val="003500EB"/>
    <w:rsid w:val="00351E5A"/>
    <w:rsid w:val="00352E13"/>
    <w:rsid w:val="003556EA"/>
    <w:rsid w:val="0037236E"/>
    <w:rsid w:val="00374F46"/>
    <w:rsid w:val="00376F46"/>
    <w:rsid w:val="00380640"/>
    <w:rsid w:val="00383177"/>
    <w:rsid w:val="00384E56"/>
    <w:rsid w:val="003865C1"/>
    <w:rsid w:val="003908F2"/>
    <w:rsid w:val="00394FF5"/>
    <w:rsid w:val="003A1BD0"/>
    <w:rsid w:val="003A41A4"/>
    <w:rsid w:val="003A4F89"/>
    <w:rsid w:val="003A5074"/>
    <w:rsid w:val="003A5E70"/>
    <w:rsid w:val="003A7575"/>
    <w:rsid w:val="003B041C"/>
    <w:rsid w:val="003B2A2F"/>
    <w:rsid w:val="003B33C6"/>
    <w:rsid w:val="003B4A0B"/>
    <w:rsid w:val="003C1DF4"/>
    <w:rsid w:val="003C3EA9"/>
    <w:rsid w:val="003C7155"/>
    <w:rsid w:val="003D52FE"/>
    <w:rsid w:val="003D5808"/>
    <w:rsid w:val="003E1D7F"/>
    <w:rsid w:val="003E603F"/>
    <w:rsid w:val="003E693C"/>
    <w:rsid w:val="003F24FC"/>
    <w:rsid w:val="003F3198"/>
    <w:rsid w:val="00401A78"/>
    <w:rsid w:val="00402668"/>
    <w:rsid w:val="00407FBC"/>
    <w:rsid w:val="00410A9F"/>
    <w:rsid w:val="0041486D"/>
    <w:rsid w:val="00414BB7"/>
    <w:rsid w:val="00414C8F"/>
    <w:rsid w:val="004168BD"/>
    <w:rsid w:val="00416C16"/>
    <w:rsid w:val="004172F2"/>
    <w:rsid w:val="0042729F"/>
    <w:rsid w:val="00435E55"/>
    <w:rsid w:val="00436B7E"/>
    <w:rsid w:val="00440282"/>
    <w:rsid w:val="0045059A"/>
    <w:rsid w:val="00450F1A"/>
    <w:rsid w:val="0045293B"/>
    <w:rsid w:val="004540D0"/>
    <w:rsid w:val="004548F5"/>
    <w:rsid w:val="00456222"/>
    <w:rsid w:val="004638F7"/>
    <w:rsid w:val="00463E3A"/>
    <w:rsid w:val="00464219"/>
    <w:rsid w:val="00472431"/>
    <w:rsid w:val="00482D0E"/>
    <w:rsid w:val="00482E8F"/>
    <w:rsid w:val="0049338B"/>
    <w:rsid w:val="0049411B"/>
    <w:rsid w:val="004B1B23"/>
    <w:rsid w:val="004B2351"/>
    <w:rsid w:val="004B498E"/>
    <w:rsid w:val="004B6B71"/>
    <w:rsid w:val="004C24CF"/>
    <w:rsid w:val="004C3A5C"/>
    <w:rsid w:val="004D0FF6"/>
    <w:rsid w:val="004D19AC"/>
    <w:rsid w:val="004E664D"/>
    <w:rsid w:val="004E6D5E"/>
    <w:rsid w:val="004E7ABF"/>
    <w:rsid w:val="004F057F"/>
    <w:rsid w:val="004F1BE6"/>
    <w:rsid w:val="004F3C05"/>
    <w:rsid w:val="004F53B9"/>
    <w:rsid w:val="0050337B"/>
    <w:rsid w:val="00505CBB"/>
    <w:rsid w:val="00506CBE"/>
    <w:rsid w:val="005103A5"/>
    <w:rsid w:val="00510F58"/>
    <w:rsid w:val="00513284"/>
    <w:rsid w:val="00516966"/>
    <w:rsid w:val="00517676"/>
    <w:rsid w:val="00517F5D"/>
    <w:rsid w:val="00530937"/>
    <w:rsid w:val="00533717"/>
    <w:rsid w:val="00533DF1"/>
    <w:rsid w:val="00535AE6"/>
    <w:rsid w:val="00536AD5"/>
    <w:rsid w:val="00542390"/>
    <w:rsid w:val="00542810"/>
    <w:rsid w:val="00542920"/>
    <w:rsid w:val="00543BB1"/>
    <w:rsid w:val="005456FD"/>
    <w:rsid w:val="00547CC1"/>
    <w:rsid w:val="00547EC9"/>
    <w:rsid w:val="00547F94"/>
    <w:rsid w:val="00550256"/>
    <w:rsid w:val="00553000"/>
    <w:rsid w:val="0055647E"/>
    <w:rsid w:val="00557758"/>
    <w:rsid w:val="00560711"/>
    <w:rsid w:val="00563540"/>
    <w:rsid w:val="0057496E"/>
    <w:rsid w:val="00574D2F"/>
    <w:rsid w:val="00575E0F"/>
    <w:rsid w:val="00580488"/>
    <w:rsid w:val="00583826"/>
    <w:rsid w:val="0058699A"/>
    <w:rsid w:val="00586BEB"/>
    <w:rsid w:val="005879F9"/>
    <w:rsid w:val="00587B80"/>
    <w:rsid w:val="00594670"/>
    <w:rsid w:val="0059765D"/>
    <w:rsid w:val="005978B1"/>
    <w:rsid w:val="005A37A5"/>
    <w:rsid w:val="005A4CD0"/>
    <w:rsid w:val="005A5903"/>
    <w:rsid w:val="005A5DA8"/>
    <w:rsid w:val="005B3352"/>
    <w:rsid w:val="005B6B37"/>
    <w:rsid w:val="005C0A6C"/>
    <w:rsid w:val="005C7118"/>
    <w:rsid w:val="005C7931"/>
    <w:rsid w:val="005D218F"/>
    <w:rsid w:val="005D48BA"/>
    <w:rsid w:val="005D4B2B"/>
    <w:rsid w:val="005D666E"/>
    <w:rsid w:val="005E2868"/>
    <w:rsid w:val="005E2C1E"/>
    <w:rsid w:val="005E7288"/>
    <w:rsid w:val="005E79F0"/>
    <w:rsid w:val="005F6499"/>
    <w:rsid w:val="005F6FF9"/>
    <w:rsid w:val="00603504"/>
    <w:rsid w:val="0060426E"/>
    <w:rsid w:val="006043F7"/>
    <w:rsid w:val="00605C75"/>
    <w:rsid w:val="0061086F"/>
    <w:rsid w:val="006131B7"/>
    <w:rsid w:val="006159F8"/>
    <w:rsid w:val="00615C4B"/>
    <w:rsid w:val="00617121"/>
    <w:rsid w:val="00621F8D"/>
    <w:rsid w:val="00623899"/>
    <w:rsid w:val="006269CF"/>
    <w:rsid w:val="00626C87"/>
    <w:rsid w:val="00634186"/>
    <w:rsid w:val="006427D1"/>
    <w:rsid w:val="006442BE"/>
    <w:rsid w:val="0064599F"/>
    <w:rsid w:val="006460E8"/>
    <w:rsid w:val="00651476"/>
    <w:rsid w:val="00654949"/>
    <w:rsid w:val="00655098"/>
    <w:rsid w:val="0065627E"/>
    <w:rsid w:val="0065681F"/>
    <w:rsid w:val="00656B9E"/>
    <w:rsid w:val="006570FC"/>
    <w:rsid w:val="006611BB"/>
    <w:rsid w:val="00661955"/>
    <w:rsid w:val="00663119"/>
    <w:rsid w:val="00664832"/>
    <w:rsid w:val="00667621"/>
    <w:rsid w:val="00676A92"/>
    <w:rsid w:val="00682BC6"/>
    <w:rsid w:val="00685A9D"/>
    <w:rsid w:val="00686864"/>
    <w:rsid w:val="00690707"/>
    <w:rsid w:val="00691C34"/>
    <w:rsid w:val="00694319"/>
    <w:rsid w:val="00694468"/>
    <w:rsid w:val="00695C23"/>
    <w:rsid w:val="006A0C43"/>
    <w:rsid w:val="006A2E54"/>
    <w:rsid w:val="006A44AA"/>
    <w:rsid w:val="006A4950"/>
    <w:rsid w:val="006A4F3A"/>
    <w:rsid w:val="006B2A40"/>
    <w:rsid w:val="006B33B8"/>
    <w:rsid w:val="006B5859"/>
    <w:rsid w:val="006C2826"/>
    <w:rsid w:val="006D139E"/>
    <w:rsid w:val="006D48B3"/>
    <w:rsid w:val="006D53FC"/>
    <w:rsid w:val="006D5515"/>
    <w:rsid w:val="006E4BAD"/>
    <w:rsid w:val="006E52CE"/>
    <w:rsid w:val="006F2AE1"/>
    <w:rsid w:val="006F682C"/>
    <w:rsid w:val="006F6B6F"/>
    <w:rsid w:val="006F6F57"/>
    <w:rsid w:val="006F75E1"/>
    <w:rsid w:val="006F7B2B"/>
    <w:rsid w:val="00702D21"/>
    <w:rsid w:val="00704AB7"/>
    <w:rsid w:val="00710C2A"/>
    <w:rsid w:val="0071345B"/>
    <w:rsid w:val="00714A11"/>
    <w:rsid w:val="0071577C"/>
    <w:rsid w:val="00720310"/>
    <w:rsid w:val="00721598"/>
    <w:rsid w:val="00724E07"/>
    <w:rsid w:val="00727123"/>
    <w:rsid w:val="007302F9"/>
    <w:rsid w:val="00731084"/>
    <w:rsid w:val="007374FD"/>
    <w:rsid w:val="007429BA"/>
    <w:rsid w:val="00746935"/>
    <w:rsid w:val="00750C24"/>
    <w:rsid w:val="00753CAE"/>
    <w:rsid w:val="0076065C"/>
    <w:rsid w:val="00765FE3"/>
    <w:rsid w:val="00766BB7"/>
    <w:rsid w:val="007676FE"/>
    <w:rsid w:val="00772210"/>
    <w:rsid w:val="00772B67"/>
    <w:rsid w:val="007733FB"/>
    <w:rsid w:val="00776A7B"/>
    <w:rsid w:val="00776FDD"/>
    <w:rsid w:val="00780F13"/>
    <w:rsid w:val="0078287D"/>
    <w:rsid w:val="007843B0"/>
    <w:rsid w:val="00786266"/>
    <w:rsid w:val="0079035F"/>
    <w:rsid w:val="00790D61"/>
    <w:rsid w:val="00791F6A"/>
    <w:rsid w:val="00793BCA"/>
    <w:rsid w:val="00793EB9"/>
    <w:rsid w:val="0079721B"/>
    <w:rsid w:val="007A089E"/>
    <w:rsid w:val="007A379D"/>
    <w:rsid w:val="007A6966"/>
    <w:rsid w:val="007A721A"/>
    <w:rsid w:val="007B4A88"/>
    <w:rsid w:val="007B65BE"/>
    <w:rsid w:val="007B739F"/>
    <w:rsid w:val="007C3D22"/>
    <w:rsid w:val="007C4612"/>
    <w:rsid w:val="007D3F74"/>
    <w:rsid w:val="007E020E"/>
    <w:rsid w:val="007E1301"/>
    <w:rsid w:val="007E14FB"/>
    <w:rsid w:val="007E2CCD"/>
    <w:rsid w:val="007E4403"/>
    <w:rsid w:val="007E795C"/>
    <w:rsid w:val="007F2474"/>
    <w:rsid w:val="007F5C7A"/>
    <w:rsid w:val="00802541"/>
    <w:rsid w:val="00803DAF"/>
    <w:rsid w:val="00805960"/>
    <w:rsid w:val="008107AD"/>
    <w:rsid w:val="00810F15"/>
    <w:rsid w:val="008125AC"/>
    <w:rsid w:val="00821C2F"/>
    <w:rsid w:val="008226F3"/>
    <w:rsid w:val="00826A13"/>
    <w:rsid w:val="00831AF5"/>
    <w:rsid w:val="00833936"/>
    <w:rsid w:val="00833C95"/>
    <w:rsid w:val="008407C1"/>
    <w:rsid w:val="00842047"/>
    <w:rsid w:val="0084398B"/>
    <w:rsid w:val="00852F55"/>
    <w:rsid w:val="00854223"/>
    <w:rsid w:val="00856467"/>
    <w:rsid w:val="0085693A"/>
    <w:rsid w:val="008606D6"/>
    <w:rsid w:val="0086346B"/>
    <w:rsid w:val="008634B1"/>
    <w:rsid w:val="008638F0"/>
    <w:rsid w:val="00863E29"/>
    <w:rsid w:val="00864EA6"/>
    <w:rsid w:val="008650FD"/>
    <w:rsid w:val="00873760"/>
    <w:rsid w:val="00876B19"/>
    <w:rsid w:val="00882F94"/>
    <w:rsid w:val="00886A5A"/>
    <w:rsid w:val="00891389"/>
    <w:rsid w:val="00892DCE"/>
    <w:rsid w:val="00895A08"/>
    <w:rsid w:val="00895A9D"/>
    <w:rsid w:val="00897A4F"/>
    <w:rsid w:val="008A6CA4"/>
    <w:rsid w:val="008B25C2"/>
    <w:rsid w:val="008B3982"/>
    <w:rsid w:val="008B5061"/>
    <w:rsid w:val="008C3C4D"/>
    <w:rsid w:val="008C4607"/>
    <w:rsid w:val="008C534B"/>
    <w:rsid w:val="008D2D68"/>
    <w:rsid w:val="008D3D33"/>
    <w:rsid w:val="008D5D5F"/>
    <w:rsid w:val="008E1270"/>
    <w:rsid w:val="008E1B99"/>
    <w:rsid w:val="008E2918"/>
    <w:rsid w:val="008E308C"/>
    <w:rsid w:val="008E4AD9"/>
    <w:rsid w:val="008F257B"/>
    <w:rsid w:val="008F514F"/>
    <w:rsid w:val="008F73AB"/>
    <w:rsid w:val="00900DA7"/>
    <w:rsid w:val="00903240"/>
    <w:rsid w:val="0090340A"/>
    <w:rsid w:val="00903DB2"/>
    <w:rsid w:val="00904F7B"/>
    <w:rsid w:val="00907D4E"/>
    <w:rsid w:val="00911736"/>
    <w:rsid w:val="009123CE"/>
    <w:rsid w:val="0092217D"/>
    <w:rsid w:val="009233F7"/>
    <w:rsid w:val="00925F8A"/>
    <w:rsid w:val="009261B7"/>
    <w:rsid w:val="00931C15"/>
    <w:rsid w:val="009326CB"/>
    <w:rsid w:val="00932FCD"/>
    <w:rsid w:val="00937CC1"/>
    <w:rsid w:val="00941D2D"/>
    <w:rsid w:val="00943476"/>
    <w:rsid w:val="00950E0C"/>
    <w:rsid w:val="00951E6A"/>
    <w:rsid w:val="00952E97"/>
    <w:rsid w:val="009539D2"/>
    <w:rsid w:val="00962CBA"/>
    <w:rsid w:val="00962DD6"/>
    <w:rsid w:val="0096739B"/>
    <w:rsid w:val="00972AD8"/>
    <w:rsid w:val="009758C7"/>
    <w:rsid w:val="00976453"/>
    <w:rsid w:val="009804F2"/>
    <w:rsid w:val="00985E70"/>
    <w:rsid w:val="009910B1"/>
    <w:rsid w:val="00991334"/>
    <w:rsid w:val="00991706"/>
    <w:rsid w:val="00991F75"/>
    <w:rsid w:val="009939AE"/>
    <w:rsid w:val="00994F7D"/>
    <w:rsid w:val="009A31C9"/>
    <w:rsid w:val="009A33A1"/>
    <w:rsid w:val="009A688D"/>
    <w:rsid w:val="009A7B22"/>
    <w:rsid w:val="009B1AF1"/>
    <w:rsid w:val="009B4D9A"/>
    <w:rsid w:val="009B52EA"/>
    <w:rsid w:val="009B7155"/>
    <w:rsid w:val="009C166B"/>
    <w:rsid w:val="009C6BD2"/>
    <w:rsid w:val="009C7131"/>
    <w:rsid w:val="009C71AA"/>
    <w:rsid w:val="009D0479"/>
    <w:rsid w:val="009D107E"/>
    <w:rsid w:val="009D115E"/>
    <w:rsid w:val="009D18FD"/>
    <w:rsid w:val="009D1BD0"/>
    <w:rsid w:val="009D27B2"/>
    <w:rsid w:val="009D2AA2"/>
    <w:rsid w:val="009E2F7D"/>
    <w:rsid w:val="009E4A15"/>
    <w:rsid w:val="009E6E8B"/>
    <w:rsid w:val="009F010D"/>
    <w:rsid w:val="009F0C87"/>
    <w:rsid w:val="009F6277"/>
    <w:rsid w:val="00A01411"/>
    <w:rsid w:val="00A026F9"/>
    <w:rsid w:val="00A04F38"/>
    <w:rsid w:val="00A06AB2"/>
    <w:rsid w:val="00A06C39"/>
    <w:rsid w:val="00A07A0C"/>
    <w:rsid w:val="00A07B78"/>
    <w:rsid w:val="00A11A0F"/>
    <w:rsid w:val="00A20D66"/>
    <w:rsid w:val="00A2232F"/>
    <w:rsid w:val="00A26EAD"/>
    <w:rsid w:val="00A27E1A"/>
    <w:rsid w:val="00A36C33"/>
    <w:rsid w:val="00A37E02"/>
    <w:rsid w:val="00A476F7"/>
    <w:rsid w:val="00A52ADF"/>
    <w:rsid w:val="00A52B4B"/>
    <w:rsid w:val="00A54F6A"/>
    <w:rsid w:val="00A60349"/>
    <w:rsid w:val="00A61BA1"/>
    <w:rsid w:val="00A620C2"/>
    <w:rsid w:val="00A6233A"/>
    <w:rsid w:val="00A62A34"/>
    <w:rsid w:val="00A637DC"/>
    <w:rsid w:val="00A6696D"/>
    <w:rsid w:val="00A67BE5"/>
    <w:rsid w:val="00A745DD"/>
    <w:rsid w:val="00A751EF"/>
    <w:rsid w:val="00A76BE6"/>
    <w:rsid w:val="00A76D22"/>
    <w:rsid w:val="00A811DD"/>
    <w:rsid w:val="00A8353F"/>
    <w:rsid w:val="00A836A3"/>
    <w:rsid w:val="00A84C36"/>
    <w:rsid w:val="00A853CF"/>
    <w:rsid w:val="00A900CC"/>
    <w:rsid w:val="00A9187C"/>
    <w:rsid w:val="00A91AC1"/>
    <w:rsid w:val="00A950DA"/>
    <w:rsid w:val="00AA2238"/>
    <w:rsid w:val="00AA22CE"/>
    <w:rsid w:val="00AA2DC0"/>
    <w:rsid w:val="00AB0289"/>
    <w:rsid w:val="00AB1AD6"/>
    <w:rsid w:val="00AB2D5E"/>
    <w:rsid w:val="00AB4FDD"/>
    <w:rsid w:val="00AC2105"/>
    <w:rsid w:val="00AC442C"/>
    <w:rsid w:val="00AD0E0B"/>
    <w:rsid w:val="00AD2EE1"/>
    <w:rsid w:val="00AD7907"/>
    <w:rsid w:val="00AE0097"/>
    <w:rsid w:val="00AE059F"/>
    <w:rsid w:val="00AE2437"/>
    <w:rsid w:val="00AE4D81"/>
    <w:rsid w:val="00AF5BED"/>
    <w:rsid w:val="00AF78CA"/>
    <w:rsid w:val="00B03FD6"/>
    <w:rsid w:val="00B12890"/>
    <w:rsid w:val="00B24FF2"/>
    <w:rsid w:val="00B2623E"/>
    <w:rsid w:val="00B30BFE"/>
    <w:rsid w:val="00B33113"/>
    <w:rsid w:val="00B33C99"/>
    <w:rsid w:val="00B42858"/>
    <w:rsid w:val="00B44C59"/>
    <w:rsid w:val="00B5011B"/>
    <w:rsid w:val="00B530F3"/>
    <w:rsid w:val="00B532CD"/>
    <w:rsid w:val="00B54016"/>
    <w:rsid w:val="00B607A3"/>
    <w:rsid w:val="00B62A2C"/>
    <w:rsid w:val="00B72996"/>
    <w:rsid w:val="00B8105C"/>
    <w:rsid w:val="00B81311"/>
    <w:rsid w:val="00B83224"/>
    <w:rsid w:val="00B918C2"/>
    <w:rsid w:val="00B97E95"/>
    <w:rsid w:val="00BA4659"/>
    <w:rsid w:val="00BA5097"/>
    <w:rsid w:val="00BB0B8A"/>
    <w:rsid w:val="00BB0E42"/>
    <w:rsid w:val="00BB1D4C"/>
    <w:rsid w:val="00BB53CE"/>
    <w:rsid w:val="00BB6057"/>
    <w:rsid w:val="00BB7472"/>
    <w:rsid w:val="00BB7976"/>
    <w:rsid w:val="00BC093E"/>
    <w:rsid w:val="00BC1DB1"/>
    <w:rsid w:val="00BC452B"/>
    <w:rsid w:val="00BC5228"/>
    <w:rsid w:val="00BD4F4A"/>
    <w:rsid w:val="00BE056D"/>
    <w:rsid w:val="00BE14A3"/>
    <w:rsid w:val="00BE17CD"/>
    <w:rsid w:val="00BE3A15"/>
    <w:rsid w:val="00BE6895"/>
    <w:rsid w:val="00BF2B31"/>
    <w:rsid w:val="00BF3FBB"/>
    <w:rsid w:val="00BF48BF"/>
    <w:rsid w:val="00BF6FEB"/>
    <w:rsid w:val="00BF7080"/>
    <w:rsid w:val="00C01FC9"/>
    <w:rsid w:val="00C06860"/>
    <w:rsid w:val="00C140A1"/>
    <w:rsid w:val="00C14A0F"/>
    <w:rsid w:val="00C21FB9"/>
    <w:rsid w:val="00C2343A"/>
    <w:rsid w:val="00C31CA4"/>
    <w:rsid w:val="00C33590"/>
    <w:rsid w:val="00C34793"/>
    <w:rsid w:val="00C34970"/>
    <w:rsid w:val="00C34D74"/>
    <w:rsid w:val="00C41CA7"/>
    <w:rsid w:val="00C41E8A"/>
    <w:rsid w:val="00C45321"/>
    <w:rsid w:val="00C47332"/>
    <w:rsid w:val="00C50227"/>
    <w:rsid w:val="00C51FD6"/>
    <w:rsid w:val="00C52269"/>
    <w:rsid w:val="00C543B1"/>
    <w:rsid w:val="00C5549A"/>
    <w:rsid w:val="00C6491D"/>
    <w:rsid w:val="00C6630E"/>
    <w:rsid w:val="00C749CD"/>
    <w:rsid w:val="00C760D6"/>
    <w:rsid w:val="00C822D1"/>
    <w:rsid w:val="00C92CD4"/>
    <w:rsid w:val="00CA0B92"/>
    <w:rsid w:val="00CA2961"/>
    <w:rsid w:val="00CA2BBE"/>
    <w:rsid w:val="00CA7660"/>
    <w:rsid w:val="00CB006D"/>
    <w:rsid w:val="00CB0568"/>
    <w:rsid w:val="00CB2590"/>
    <w:rsid w:val="00CB27FF"/>
    <w:rsid w:val="00CB2B2B"/>
    <w:rsid w:val="00CB55C2"/>
    <w:rsid w:val="00CB6126"/>
    <w:rsid w:val="00CB6236"/>
    <w:rsid w:val="00CB7291"/>
    <w:rsid w:val="00CC00E1"/>
    <w:rsid w:val="00CC389E"/>
    <w:rsid w:val="00CC4664"/>
    <w:rsid w:val="00CC78CF"/>
    <w:rsid w:val="00CD1DA4"/>
    <w:rsid w:val="00CD4A03"/>
    <w:rsid w:val="00CD5463"/>
    <w:rsid w:val="00CD60B2"/>
    <w:rsid w:val="00CE40A0"/>
    <w:rsid w:val="00CF4F01"/>
    <w:rsid w:val="00CF6135"/>
    <w:rsid w:val="00CF797F"/>
    <w:rsid w:val="00CF79DA"/>
    <w:rsid w:val="00D00D36"/>
    <w:rsid w:val="00D03395"/>
    <w:rsid w:val="00D10926"/>
    <w:rsid w:val="00D12F92"/>
    <w:rsid w:val="00D163C4"/>
    <w:rsid w:val="00D22322"/>
    <w:rsid w:val="00D2293D"/>
    <w:rsid w:val="00D22CEF"/>
    <w:rsid w:val="00D23324"/>
    <w:rsid w:val="00D252A3"/>
    <w:rsid w:val="00D26EB7"/>
    <w:rsid w:val="00D32446"/>
    <w:rsid w:val="00D33C26"/>
    <w:rsid w:val="00D33CFE"/>
    <w:rsid w:val="00D34546"/>
    <w:rsid w:val="00D37A2D"/>
    <w:rsid w:val="00D42C7F"/>
    <w:rsid w:val="00D45CF8"/>
    <w:rsid w:val="00D45ED0"/>
    <w:rsid w:val="00D460D6"/>
    <w:rsid w:val="00D460FE"/>
    <w:rsid w:val="00D463DE"/>
    <w:rsid w:val="00D464A8"/>
    <w:rsid w:val="00D56B78"/>
    <w:rsid w:val="00D56FFE"/>
    <w:rsid w:val="00D63D3E"/>
    <w:rsid w:val="00D63D9F"/>
    <w:rsid w:val="00D646B1"/>
    <w:rsid w:val="00D64EA6"/>
    <w:rsid w:val="00D671C4"/>
    <w:rsid w:val="00D708B5"/>
    <w:rsid w:val="00D73168"/>
    <w:rsid w:val="00D77843"/>
    <w:rsid w:val="00D839CE"/>
    <w:rsid w:val="00D91545"/>
    <w:rsid w:val="00D93BCD"/>
    <w:rsid w:val="00D95BA1"/>
    <w:rsid w:val="00DA0DF4"/>
    <w:rsid w:val="00DB3E52"/>
    <w:rsid w:val="00DB55BB"/>
    <w:rsid w:val="00DB5796"/>
    <w:rsid w:val="00DB5F8D"/>
    <w:rsid w:val="00DC0F09"/>
    <w:rsid w:val="00DC2408"/>
    <w:rsid w:val="00DC5965"/>
    <w:rsid w:val="00DD056F"/>
    <w:rsid w:val="00DD107A"/>
    <w:rsid w:val="00DD2572"/>
    <w:rsid w:val="00DD2A4A"/>
    <w:rsid w:val="00DD31A6"/>
    <w:rsid w:val="00DE0B0A"/>
    <w:rsid w:val="00DE1480"/>
    <w:rsid w:val="00DF29E8"/>
    <w:rsid w:val="00DF3E0B"/>
    <w:rsid w:val="00DF45CA"/>
    <w:rsid w:val="00E0011A"/>
    <w:rsid w:val="00E014C1"/>
    <w:rsid w:val="00E04A3F"/>
    <w:rsid w:val="00E05F28"/>
    <w:rsid w:val="00E1127F"/>
    <w:rsid w:val="00E1293B"/>
    <w:rsid w:val="00E16BAA"/>
    <w:rsid w:val="00E17F4A"/>
    <w:rsid w:val="00E20DC9"/>
    <w:rsid w:val="00E24F05"/>
    <w:rsid w:val="00E26DB9"/>
    <w:rsid w:val="00E31393"/>
    <w:rsid w:val="00E3212E"/>
    <w:rsid w:val="00E35BDB"/>
    <w:rsid w:val="00E4187F"/>
    <w:rsid w:val="00E43597"/>
    <w:rsid w:val="00E444BF"/>
    <w:rsid w:val="00E44A85"/>
    <w:rsid w:val="00E44F22"/>
    <w:rsid w:val="00E46276"/>
    <w:rsid w:val="00E537B6"/>
    <w:rsid w:val="00E557C4"/>
    <w:rsid w:val="00E5687D"/>
    <w:rsid w:val="00E57263"/>
    <w:rsid w:val="00E64621"/>
    <w:rsid w:val="00E665F0"/>
    <w:rsid w:val="00E82214"/>
    <w:rsid w:val="00E8466A"/>
    <w:rsid w:val="00E90EF0"/>
    <w:rsid w:val="00E915B9"/>
    <w:rsid w:val="00E92454"/>
    <w:rsid w:val="00EA0A99"/>
    <w:rsid w:val="00EA178F"/>
    <w:rsid w:val="00EA4672"/>
    <w:rsid w:val="00EA4EA8"/>
    <w:rsid w:val="00EA5FAE"/>
    <w:rsid w:val="00EA6B86"/>
    <w:rsid w:val="00EA79AA"/>
    <w:rsid w:val="00EB12AB"/>
    <w:rsid w:val="00EB1305"/>
    <w:rsid w:val="00EB1525"/>
    <w:rsid w:val="00EB2E88"/>
    <w:rsid w:val="00EC0855"/>
    <w:rsid w:val="00EC1F73"/>
    <w:rsid w:val="00EC66E6"/>
    <w:rsid w:val="00ED0CD9"/>
    <w:rsid w:val="00ED2159"/>
    <w:rsid w:val="00ED63F2"/>
    <w:rsid w:val="00ED7545"/>
    <w:rsid w:val="00EE14AB"/>
    <w:rsid w:val="00EF3A78"/>
    <w:rsid w:val="00EF58F7"/>
    <w:rsid w:val="00EF79A8"/>
    <w:rsid w:val="00F058A2"/>
    <w:rsid w:val="00F12016"/>
    <w:rsid w:val="00F12121"/>
    <w:rsid w:val="00F12E13"/>
    <w:rsid w:val="00F14A0B"/>
    <w:rsid w:val="00F20BC9"/>
    <w:rsid w:val="00F230CB"/>
    <w:rsid w:val="00F23D1D"/>
    <w:rsid w:val="00F3083E"/>
    <w:rsid w:val="00F30EC4"/>
    <w:rsid w:val="00F35D30"/>
    <w:rsid w:val="00F37E89"/>
    <w:rsid w:val="00F43165"/>
    <w:rsid w:val="00F469C7"/>
    <w:rsid w:val="00F47E75"/>
    <w:rsid w:val="00F51EEF"/>
    <w:rsid w:val="00F520DB"/>
    <w:rsid w:val="00F55FBC"/>
    <w:rsid w:val="00F61AE0"/>
    <w:rsid w:val="00F65343"/>
    <w:rsid w:val="00F65586"/>
    <w:rsid w:val="00F70174"/>
    <w:rsid w:val="00F7305F"/>
    <w:rsid w:val="00F76371"/>
    <w:rsid w:val="00F8100E"/>
    <w:rsid w:val="00F824E2"/>
    <w:rsid w:val="00F82A25"/>
    <w:rsid w:val="00F90230"/>
    <w:rsid w:val="00F90D59"/>
    <w:rsid w:val="00F913BA"/>
    <w:rsid w:val="00F91B48"/>
    <w:rsid w:val="00F94FAF"/>
    <w:rsid w:val="00F964C9"/>
    <w:rsid w:val="00FA13EB"/>
    <w:rsid w:val="00FA2B96"/>
    <w:rsid w:val="00FA712D"/>
    <w:rsid w:val="00FB07CC"/>
    <w:rsid w:val="00FB6E0E"/>
    <w:rsid w:val="00FC1182"/>
    <w:rsid w:val="00FC3D77"/>
    <w:rsid w:val="00FD393D"/>
    <w:rsid w:val="00FD698C"/>
    <w:rsid w:val="00FD6A9A"/>
    <w:rsid w:val="00FD7C11"/>
    <w:rsid w:val="00FD7C95"/>
    <w:rsid w:val="00FE2738"/>
    <w:rsid w:val="00FE73E4"/>
    <w:rsid w:val="00FE7E3D"/>
    <w:rsid w:val="00FF0B92"/>
    <w:rsid w:val="00FF46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0423B"/>
  <w15:docId w15:val="{6E9DC0F3-CF87-4DCE-92A9-D38A1D90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3FB"/>
    <w:rPr>
      <w:rFonts w:eastAsia="Times New Roman"/>
      <w:lang w:eastAsia="en-US"/>
    </w:rPr>
  </w:style>
  <w:style w:type="paragraph" w:styleId="Heading1">
    <w:name w:val="heading 1"/>
    <w:basedOn w:val="Normal"/>
    <w:next w:val="Normal"/>
    <w:qFormat/>
    <w:rsid w:val="00710C2A"/>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626C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33FB"/>
    <w:pPr>
      <w:tabs>
        <w:tab w:val="center" w:pos="4153"/>
        <w:tab w:val="right" w:pos="8306"/>
      </w:tabs>
    </w:pPr>
  </w:style>
  <w:style w:type="table" w:styleId="TableGrid">
    <w:name w:val="Table Grid"/>
    <w:basedOn w:val="TableNormal"/>
    <w:rsid w:val="007733FB"/>
    <w:rPr>
      <w:rFonts w:eastAsia="Times New Roman"/>
      <w:lang w:val="cs-CZ"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577C"/>
    <w:rPr>
      <w:rFonts w:ascii="Tahoma" w:hAnsi="Tahoma" w:cs="Tahoma"/>
      <w:sz w:val="16"/>
      <w:szCs w:val="16"/>
    </w:rPr>
  </w:style>
  <w:style w:type="character" w:styleId="CommentReference">
    <w:name w:val="annotation reference"/>
    <w:semiHidden/>
    <w:rsid w:val="0071577C"/>
    <w:rPr>
      <w:sz w:val="16"/>
      <w:szCs w:val="16"/>
    </w:rPr>
  </w:style>
  <w:style w:type="paragraph" w:styleId="CommentText">
    <w:name w:val="annotation text"/>
    <w:basedOn w:val="Normal"/>
    <w:semiHidden/>
    <w:rsid w:val="0071577C"/>
  </w:style>
  <w:style w:type="paragraph" w:styleId="CommentSubject">
    <w:name w:val="annotation subject"/>
    <w:basedOn w:val="CommentText"/>
    <w:next w:val="CommentText"/>
    <w:semiHidden/>
    <w:rsid w:val="0071577C"/>
    <w:rPr>
      <w:b/>
      <w:bCs/>
    </w:rPr>
  </w:style>
  <w:style w:type="character" w:customStyle="1" w:styleId="hps">
    <w:name w:val="hps"/>
    <w:basedOn w:val="DefaultParagraphFont"/>
    <w:rsid w:val="008F257B"/>
  </w:style>
  <w:style w:type="character" w:customStyle="1" w:styleId="atn">
    <w:name w:val="atn"/>
    <w:basedOn w:val="DefaultParagraphFont"/>
    <w:rsid w:val="008F257B"/>
  </w:style>
  <w:style w:type="character" w:customStyle="1" w:styleId="gt-icon-text1">
    <w:name w:val="gt-icon-text1"/>
    <w:basedOn w:val="DefaultParagraphFont"/>
    <w:rsid w:val="008F257B"/>
  </w:style>
  <w:style w:type="paragraph" w:styleId="Title">
    <w:name w:val="Title"/>
    <w:basedOn w:val="Normal"/>
    <w:next w:val="Normal"/>
    <w:link w:val="TitleChar"/>
    <w:qFormat/>
    <w:rsid w:val="001A5D69"/>
    <w:pPr>
      <w:spacing w:before="240" w:after="60"/>
      <w:jc w:val="center"/>
      <w:outlineLvl w:val="0"/>
    </w:pPr>
    <w:rPr>
      <w:rFonts w:ascii="Cambria" w:hAnsi="Cambria"/>
      <w:b/>
      <w:bCs/>
      <w:kern w:val="28"/>
      <w:sz w:val="32"/>
      <w:szCs w:val="32"/>
    </w:rPr>
  </w:style>
  <w:style w:type="character" w:customStyle="1" w:styleId="TitleChar">
    <w:name w:val="Title Char"/>
    <w:link w:val="Title"/>
    <w:rsid w:val="001A5D69"/>
    <w:rPr>
      <w:rFonts w:ascii="Cambria" w:eastAsia="Times New Roman" w:hAnsi="Cambria" w:cs="Times New Roman"/>
      <w:b/>
      <w:bCs/>
      <w:kern w:val="28"/>
      <w:sz w:val="32"/>
      <w:szCs w:val="32"/>
      <w:lang w:val="en-GB" w:eastAsia="en-US"/>
    </w:rPr>
  </w:style>
  <w:style w:type="character" w:styleId="Emphasis">
    <w:name w:val="Emphasis"/>
    <w:basedOn w:val="DefaultParagraphFont"/>
    <w:qFormat/>
    <w:rsid w:val="00B54016"/>
    <w:rPr>
      <w:i/>
      <w:iCs/>
    </w:rPr>
  </w:style>
  <w:style w:type="table" w:styleId="PlainTable4">
    <w:name w:val="Plain Table 4"/>
    <w:basedOn w:val="TableNormal"/>
    <w:uiPriority w:val="44"/>
    <w:rsid w:val="009B52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F38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semiHidden/>
    <w:rsid w:val="00626C87"/>
    <w:rPr>
      <w:rFonts w:asciiTheme="majorHAnsi" w:eastAsiaTheme="majorEastAsia" w:hAnsiTheme="majorHAnsi" w:cstheme="majorBidi"/>
      <w:color w:val="2F5496" w:themeColor="accent1" w:themeShade="BF"/>
      <w:sz w:val="26"/>
      <w:szCs w:val="26"/>
      <w:lang w:eastAsia="en-US"/>
    </w:rPr>
  </w:style>
  <w:style w:type="table" w:styleId="GridTable5Dark-Accent1">
    <w:name w:val="Grid Table 5 Dark Accent 1"/>
    <w:basedOn w:val="TableNormal"/>
    <w:uiPriority w:val="50"/>
    <w:rsid w:val="00380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380640"/>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0345E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172">
      <w:bodyDiv w:val="1"/>
      <w:marLeft w:val="0"/>
      <w:marRight w:val="0"/>
      <w:marTop w:val="0"/>
      <w:marBottom w:val="0"/>
      <w:divBdr>
        <w:top w:val="none" w:sz="0" w:space="0" w:color="auto"/>
        <w:left w:val="none" w:sz="0" w:space="0" w:color="auto"/>
        <w:bottom w:val="none" w:sz="0" w:space="0" w:color="auto"/>
        <w:right w:val="none" w:sz="0" w:space="0" w:color="auto"/>
      </w:divBdr>
    </w:div>
    <w:div w:id="195432855">
      <w:bodyDiv w:val="1"/>
      <w:marLeft w:val="0"/>
      <w:marRight w:val="0"/>
      <w:marTop w:val="0"/>
      <w:marBottom w:val="0"/>
      <w:divBdr>
        <w:top w:val="none" w:sz="0" w:space="0" w:color="auto"/>
        <w:left w:val="none" w:sz="0" w:space="0" w:color="auto"/>
        <w:bottom w:val="none" w:sz="0" w:space="0" w:color="auto"/>
        <w:right w:val="none" w:sz="0" w:space="0" w:color="auto"/>
      </w:divBdr>
      <w:divsChild>
        <w:div w:id="1691642161">
          <w:marLeft w:val="0"/>
          <w:marRight w:val="0"/>
          <w:marTop w:val="0"/>
          <w:marBottom w:val="0"/>
          <w:divBdr>
            <w:top w:val="none" w:sz="0" w:space="0" w:color="auto"/>
            <w:left w:val="none" w:sz="0" w:space="0" w:color="auto"/>
            <w:bottom w:val="none" w:sz="0" w:space="0" w:color="auto"/>
            <w:right w:val="none" w:sz="0" w:space="0" w:color="auto"/>
          </w:divBdr>
          <w:divsChild>
            <w:div w:id="1196582775">
              <w:marLeft w:val="0"/>
              <w:marRight w:val="0"/>
              <w:marTop w:val="0"/>
              <w:marBottom w:val="0"/>
              <w:divBdr>
                <w:top w:val="none" w:sz="0" w:space="0" w:color="auto"/>
                <w:left w:val="none" w:sz="0" w:space="0" w:color="auto"/>
                <w:bottom w:val="none" w:sz="0" w:space="0" w:color="auto"/>
                <w:right w:val="none" w:sz="0" w:space="0" w:color="auto"/>
              </w:divBdr>
              <w:divsChild>
                <w:div w:id="702094179">
                  <w:marLeft w:val="0"/>
                  <w:marRight w:val="0"/>
                  <w:marTop w:val="0"/>
                  <w:marBottom w:val="0"/>
                  <w:divBdr>
                    <w:top w:val="none" w:sz="0" w:space="0" w:color="auto"/>
                    <w:left w:val="none" w:sz="0" w:space="0" w:color="auto"/>
                    <w:bottom w:val="none" w:sz="0" w:space="0" w:color="auto"/>
                    <w:right w:val="none" w:sz="0" w:space="0" w:color="auto"/>
                  </w:divBdr>
                  <w:divsChild>
                    <w:div w:id="2009402914">
                      <w:marLeft w:val="0"/>
                      <w:marRight w:val="0"/>
                      <w:marTop w:val="0"/>
                      <w:marBottom w:val="0"/>
                      <w:divBdr>
                        <w:top w:val="none" w:sz="0" w:space="0" w:color="auto"/>
                        <w:left w:val="none" w:sz="0" w:space="0" w:color="auto"/>
                        <w:bottom w:val="none" w:sz="0" w:space="0" w:color="auto"/>
                        <w:right w:val="none" w:sz="0" w:space="0" w:color="auto"/>
                      </w:divBdr>
                      <w:divsChild>
                        <w:div w:id="834876673">
                          <w:marLeft w:val="0"/>
                          <w:marRight w:val="0"/>
                          <w:marTop w:val="0"/>
                          <w:marBottom w:val="0"/>
                          <w:divBdr>
                            <w:top w:val="none" w:sz="0" w:space="0" w:color="auto"/>
                            <w:left w:val="none" w:sz="0" w:space="0" w:color="auto"/>
                            <w:bottom w:val="none" w:sz="0" w:space="0" w:color="auto"/>
                            <w:right w:val="none" w:sz="0" w:space="0" w:color="auto"/>
                          </w:divBdr>
                          <w:divsChild>
                            <w:div w:id="795610074">
                              <w:marLeft w:val="-240"/>
                              <w:marRight w:val="-240"/>
                              <w:marTop w:val="0"/>
                              <w:marBottom w:val="0"/>
                              <w:divBdr>
                                <w:top w:val="none" w:sz="0" w:space="0" w:color="auto"/>
                                <w:left w:val="none" w:sz="0" w:space="0" w:color="auto"/>
                                <w:bottom w:val="none" w:sz="0" w:space="0" w:color="auto"/>
                                <w:right w:val="none" w:sz="0" w:space="0" w:color="auto"/>
                              </w:divBdr>
                              <w:divsChild>
                                <w:div w:id="544023335">
                                  <w:marLeft w:val="0"/>
                                  <w:marRight w:val="0"/>
                                  <w:marTop w:val="0"/>
                                  <w:marBottom w:val="0"/>
                                  <w:divBdr>
                                    <w:top w:val="none" w:sz="0" w:space="0" w:color="auto"/>
                                    <w:left w:val="none" w:sz="0" w:space="0" w:color="auto"/>
                                    <w:bottom w:val="none" w:sz="0" w:space="0" w:color="auto"/>
                                    <w:right w:val="none" w:sz="0" w:space="0" w:color="auto"/>
                                  </w:divBdr>
                                  <w:divsChild>
                                    <w:div w:id="1602176400">
                                      <w:marLeft w:val="0"/>
                                      <w:marRight w:val="0"/>
                                      <w:marTop w:val="0"/>
                                      <w:marBottom w:val="0"/>
                                      <w:divBdr>
                                        <w:top w:val="none" w:sz="0" w:space="0" w:color="auto"/>
                                        <w:left w:val="none" w:sz="0" w:space="0" w:color="auto"/>
                                        <w:bottom w:val="none" w:sz="0" w:space="0" w:color="auto"/>
                                        <w:right w:val="none" w:sz="0" w:space="0" w:color="auto"/>
                                      </w:divBdr>
                                    </w:div>
                                    <w:div w:id="866453645">
                                      <w:marLeft w:val="0"/>
                                      <w:marRight w:val="0"/>
                                      <w:marTop w:val="0"/>
                                      <w:marBottom w:val="0"/>
                                      <w:divBdr>
                                        <w:top w:val="none" w:sz="0" w:space="0" w:color="auto"/>
                                        <w:left w:val="none" w:sz="0" w:space="0" w:color="auto"/>
                                        <w:bottom w:val="none" w:sz="0" w:space="0" w:color="auto"/>
                                        <w:right w:val="none" w:sz="0" w:space="0" w:color="auto"/>
                                      </w:divBdr>
                                      <w:divsChild>
                                        <w:div w:id="2055277333">
                                          <w:marLeft w:val="165"/>
                                          <w:marRight w:val="165"/>
                                          <w:marTop w:val="0"/>
                                          <w:marBottom w:val="0"/>
                                          <w:divBdr>
                                            <w:top w:val="none" w:sz="0" w:space="0" w:color="auto"/>
                                            <w:left w:val="none" w:sz="0" w:space="0" w:color="auto"/>
                                            <w:bottom w:val="none" w:sz="0" w:space="0" w:color="auto"/>
                                            <w:right w:val="none" w:sz="0" w:space="0" w:color="auto"/>
                                          </w:divBdr>
                                          <w:divsChild>
                                            <w:div w:id="1443842326">
                                              <w:marLeft w:val="0"/>
                                              <w:marRight w:val="0"/>
                                              <w:marTop w:val="0"/>
                                              <w:marBottom w:val="0"/>
                                              <w:divBdr>
                                                <w:top w:val="none" w:sz="0" w:space="0" w:color="auto"/>
                                                <w:left w:val="none" w:sz="0" w:space="0" w:color="auto"/>
                                                <w:bottom w:val="none" w:sz="0" w:space="0" w:color="auto"/>
                                                <w:right w:val="none" w:sz="0" w:space="0" w:color="auto"/>
                                              </w:divBdr>
                                              <w:divsChild>
                                                <w:div w:id="12292701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634478">
      <w:bodyDiv w:val="1"/>
      <w:marLeft w:val="0"/>
      <w:marRight w:val="0"/>
      <w:marTop w:val="0"/>
      <w:marBottom w:val="0"/>
      <w:divBdr>
        <w:top w:val="none" w:sz="0" w:space="0" w:color="auto"/>
        <w:left w:val="none" w:sz="0" w:space="0" w:color="auto"/>
        <w:bottom w:val="none" w:sz="0" w:space="0" w:color="auto"/>
        <w:right w:val="none" w:sz="0" w:space="0" w:color="auto"/>
      </w:divBdr>
    </w:div>
    <w:div w:id="291441234">
      <w:bodyDiv w:val="1"/>
      <w:marLeft w:val="0"/>
      <w:marRight w:val="0"/>
      <w:marTop w:val="0"/>
      <w:marBottom w:val="0"/>
      <w:divBdr>
        <w:top w:val="none" w:sz="0" w:space="0" w:color="auto"/>
        <w:left w:val="none" w:sz="0" w:space="0" w:color="auto"/>
        <w:bottom w:val="none" w:sz="0" w:space="0" w:color="auto"/>
        <w:right w:val="none" w:sz="0" w:space="0" w:color="auto"/>
      </w:divBdr>
    </w:div>
    <w:div w:id="320432642">
      <w:bodyDiv w:val="1"/>
      <w:marLeft w:val="0"/>
      <w:marRight w:val="0"/>
      <w:marTop w:val="0"/>
      <w:marBottom w:val="0"/>
      <w:divBdr>
        <w:top w:val="none" w:sz="0" w:space="0" w:color="auto"/>
        <w:left w:val="none" w:sz="0" w:space="0" w:color="auto"/>
        <w:bottom w:val="none" w:sz="0" w:space="0" w:color="auto"/>
        <w:right w:val="none" w:sz="0" w:space="0" w:color="auto"/>
      </w:divBdr>
      <w:divsChild>
        <w:div w:id="1315910990">
          <w:marLeft w:val="0"/>
          <w:marRight w:val="0"/>
          <w:marTop w:val="0"/>
          <w:marBottom w:val="0"/>
          <w:divBdr>
            <w:top w:val="none" w:sz="0" w:space="0" w:color="auto"/>
            <w:left w:val="none" w:sz="0" w:space="0" w:color="auto"/>
            <w:bottom w:val="none" w:sz="0" w:space="0" w:color="auto"/>
            <w:right w:val="none" w:sz="0" w:space="0" w:color="auto"/>
          </w:divBdr>
          <w:divsChild>
            <w:div w:id="1599363661">
              <w:marLeft w:val="0"/>
              <w:marRight w:val="0"/>
              <w:marTop w:val="0"/>
              <w:marBottom w:val="0"/>
              <w:divBdr>
                <w:top w:val="none" w:sz="0" w:space="0" w:color="auto"/>
                <w:left w:val="none" w:sz="0" w:space="0" w:color="auto"/>
                <w:bottom w:val="none" w:sz="0" w:space="0" w:color="auto"/>
                <w:right w:val="none" w:sz="0" w:space="0" w:color="auto"/>
              </w:divBdr>
              <w:divsChild>
                <w:div w:id="1793749773">
                  <w:marLeft w:val="0"/>
                  <w:marRight w:val="0"/>
                  <w:marTop w:val="0"/>
                  <w:marBottom w:val="0"/>
                  <w:divBdr>
                    <w:top w:val="none" w:sz="0" w:space="0" w:color="auto"/>
                    <w:left w:val="none" w:sz="0" w:space="0" w:color="auto"/>
                    <w:bottom w:val="none" w:sz="0" w:space="0" w:color="auto"/>
                    <w:right w:val="none" w:sz="0" w:space="0" w:color="auto"/>
                  </w:divBdr>
                  <w:divsChild>
                    <w:div w:id="1739934938">
                      <w:marLeft w:val="0"/>
                      <w:marRight w:val="0"/>
                      <w:marTop w:val="0"/>
                      <w:marBottom w:val="0"/>
                      <w:divBdr>
                        <w:top w:val="none" w:sz="0" w:space="0" w:color="auto"/>
                        <w:left w:val="none" w:sz="0" w:space="0" w:color="auto"/>
                        <w:bottom w:val="none" w:sz="0" w:space="0" w:color="auto"/>
                        <w:right w:val="none" w:sz="0" w:space="0" w:color="auto"/>
                      </w:divBdr>
                      <w:divsChild>
                        <w:div w:id="1984119061">
                          <w:marLeft w:val="0"/>
                          <w:marRight w:val="0"/>
                          <w:marTop w:val="0"/>
                          <w:marBottom w:val="0"/>
                          <w:divBdr>
                            <w:top w:val="none" w:sz="0" w:space="0" w:color="auto"/>
                            <w:left w:val="none" w:sz="0" w:space="0" w:color="auto"/>
                            <w:bottom w:val="none" w:sz="0" w:space="0" w:color="auto"/>
                            <w:right w:val="none" w:sz="0" w:space="0" w:color="auto"/>
                          </w:divBdr>
                          <w:divsChild>
                            <w:div w:id="1301618073">
                              <w:marLeft w:val="0"/>
                              <w:marRight w:val="0"/>
                              <w:marTop w:val="240"/>
                              <w:marBottom w:val="0"/>
                              <w:divBdr>
                                <w:top w:val="none" w:sz="0" w:space="0" w:color="auto"/>
                                <w:left w:val="none" w:sz="0" w:space="0" w:color="auto"/>
                                <w:bottom w:val="none" w:sz="0" w:space="0" w:color="auto"/>
                                <w:right w:val="none" w:sz="0" w:space="0" w:color="auto"/>
                              </w:divBdr>
                              <w:divsChild>
                                <w:div w:id="1019966073">
                                  <w:marLeft w:val="0"/>
                                  <w:marRight w:val="240"/>
                                  <w:marTop w:val="0"/>
                                  <w:marBottom w:val="0"/>
                                  <w:divBdr>
                                    <w:top w:val="none" w:sz="0" w:space="0" w:color="auto"/>
                                    <w:left w:val="none" w:sz="0" w:space="0" w:color="auto"/>
                                    <w:bottom w:val="none" w:sz="0" w:space="0" w:color="auto"/>
                                    <w:right w:val="none" w:sz="0" w:space="0" w:color="auto"/>
                                  </w:divBdr>
                                </w:div>
                                <w:div w:id="1146513871">
                                  <w:marLeft w:val="0"/>
                                  <w:marRight w:val="240"/>
                                  <w:marTop w:val="0"/>
                                  <w:marBottom w:val="0"/>
                                  <w:divBdr>
                                    <w:top w:val="none" w:sz="0" w:space="0" w:color="auto"/>
                                    <w:left w:val="none" w:sz="0" w:space="0" w:color="auto"/>
                                    <w:bottom w:val="none" w:sz="0" w:space="0" w:color="auto"/>
                                    <w:right w:val="none" w:sz="0" w:space="0" w:color="auto"/>
                                  </w:divBdr>
                                </w:div>
                              </w:divsChild>
                            </w:div>
                            <w:div w:id="1333751590">
                              <w:marLeft w:val="0"/>
                              <w:marRight w:val="0"/>
                              <w:marTop w:val="0"/>
                              <w:marBottom w:val="0"/>
                              <w:divBdr>
                                <w:top w:val="none" w:sz="0" w:space="0" w:color="auto"/>
                                <w:left w:val="none" w:sz="0" w:space="0" w:color="auto"/>
                                <w:bottom w:val="none" w:sz="0" w:space="0" w:color="auto"/>
                                <w:right w:val="none" w:sz="0" w:space="0" w:color="auto"/>
                              </w:divBdr>
                              <w:divsChild>
                                <w:div w:id="10764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744">
      <w:bodyDiv w:val="1"/>
      <w:marLeft w:val="0"/>
      <w:marRight w:val="0"/>
      <w:marTop w:val="0"/>
      <w:marBottom w:val="0"/>
      <w:divBdr>
        <w:top w:val="none" w:sz="0" w:space="0" w:color="auto"/>
        <w:left w:val="none" w:sz="0" w:space="0" w:color="auto"/>
        <w:bottom w:val="none" w:sz="0" w:space="0" w:color="auto"/>
        <w:right w:val="none" w:sz="0" w:space="0" w:color="auto"/>
      </w:divBdr>
    </w:div>
    <w:div w:id="957874501">
      <w:bodyDiv w:val="1"/>
      <w:marLeft w:val="0"/>
      <w:marRight w:val="0"/>
      <w:marTop w:val="0"/>
      <w:marBottom w:val="0"/>
      <w:divBdr>
        <w:top w:val="none" w:sz="0" w:space="0" w:color="auto"/>
        <w:left w:val="none" w:sz="0" w:space="0" w:color="auto"/>
        <w:bottom w:val="none" w:sz="0" w:space="0" w:color="auto"/>
        <w:right w:val="none" w:sz="0" w:space="0" w:color="auto"/>
      </w:divBdr>
    </w:div>
    <w:div w:id="1024288470">
      <w:bodyDiv w:val="1"/>
      <w:marLeft w:val="0"/>
      <w:marRight w:val="0"/>
      <w:marTop w:val="0"/>
      <w:marBottom w:val="0"/>
      <w:divBdr>
        <w:top w:val="none" w:sz="0" w:space="0" w:color="auto"/>
        <w:left w:val="none" w:sz="0" w:space="0" w:color="auto"/>
        <w:bottom w:val="none" w:sz="0" w:space="0" w:color="auto"/>
        <w:right w:val="none" w:sz="0" w:space="0" w:color="auto"/>
      </w:divBdr>
    </w:div>
    <w:div w:id="1152792470">
      <w:bodyDiv w:val="1"/>
      <w:marLeft w:val="0"/>
      <w:marRight w:val="0"/>
      <w:marTop w:val="0"/>
      <w:marBottom w:val="0"/>
      <w:divBdr>
        <w:top w:val="none" w:sz="0" w:space="0" w:color="auto"/>
        <w:left w:val="none" w:sz="0" w:space="0" w:color="auto"/>
        <w:bottom w:val="none" w:sz="0" w:space="0" w:color="auto"/>
        <w:right w:val="none" w:sz="0" w:space="0" w:color="auto"/>
      </w:divBdr>
      <w:divsChild>
        <w:div w:id="451244193">
          <w:marLeft w:val="0"/>
          <w:marRight w:val="0"/>
          <w:marTop w:val="0"/>
          <w:marBottom w:val="0"/>
          <w:divBdr>
            <w:top w:val="none" w:sz="0" w:space="0" w:color="auto"/>
            <w:left w:val="none" w:sz="0" w:space="0" w:color="auto"/>
            <w:bottom w:val="none" w:sz="0" w:space="0" w:color="auto"/>
            <w:right w:val="none" w:sz="0" w:space="0" w:color="auto"/>
          </w:divBdr>
          <w:divsChild>
            <w:div w:id="419957001">
              <w:marLeft w:val="0"/>
              <w:marRight w:val="0"/>
              <w:marTop w:val="0"/>
              <w:marBottom w:val="0"/>
              <w:divBdr>
                <w:top w:val="none" w:sz="0" w:space="0" w:color="auto"/>
                <w:left w:val="none" w:sz="0" w:space="0" w:color="auto"/>
                <w:bottom w:val="none" w:sz="0" w:space="0" w:color="auto"/>
                <w:right w:val="none" w:sz="0" w:space="0" w:color="auto"/>
              </w:divBdr>
              <w:divsChild>
                <w:div w:id="490828518">
                  <w:marLeft w:val="0"/>
                  <w:marRight w:val="0"/>
                  <w:marTop w:val="0"/>
                  <w:marBottom w:val="0"/>
                  <w:divBdr>
                    <w:top w:val="none" w:sz="0" w:space="0" w:color="auto"/>
                    <w:left w:val="none" w:sz="0" w:space="0" w:color="auto"/>
                    <w:bottom w:val="none" w:sz="0" w:space="0" w:color="auto"/>
                    <w:right w:val="none" w:sz="0" w:space="0" w:color="auto"/>
                  </w:divBdr>
                  <w:divsChild>
                    <w:div w:id="1212383021">
                      <w:marLeft w:val="0"/>
                      <w:marRight w:val="0"/>
                      <w:marTop w:val="0"/>
                      <w:marBottom w:val="0"/>
                      <w:divBdr>
                        <w:top w:val="none" w:sz="0" w:space="0" w:color="auto"/>
                        <w:left w:val="none" w:sz="0" w:space="0" w:color="auto"/>
                        <w:bottom w:val="none" w:sz="0" w:space="0" w:color="auto"/>
                        <w:right w:val="none" w:sz="0" w:space="0" w:color="auto"/>
                      </w:divBdr>
                      <w:divsChild>
                        <w:div w:id="1904172551">
                          <w:marLeft w:val="0"/>
                          <w:marRight w:val="0"/>
                          <w:marTop w:val="0"/>
                          <w:marBottom w:val="0"/>
                          <w:divBdr>
                            <w:top w:val="none" w:sz="0" w:space="0" w:color="auto"/>
                            <w:left w:val="none" w:sz="0" w:space="0" w:color="auto"/>
                            <w:bottom w:val="none" w:sz="0" w:space="0" w:color="auto"/>
                            <w:right w:val="none" w:sz="0" w:space="0" w:color="auto"/>
                          </w:divBdr>
                          <w:divsChild>
                            <w:div w:id="720251463">
                              <w:marLeft w:val="-240"/>
                              <w:marRight w:val="-240"/>
                              <w:marTop w:val="0"/>
                              <w:marBottom w:val="0"/>
                              <w:divBdr>
                                <w:top w:val="none" w:sz="0" w:space="0" w:color="auto"/>
                                <w:left w:val="none" w:sz="0" w:space="0" w:color="auto"/>
                                <w:bottom w:val="none" w:sz="0" w:space="0" w:color="auto"/>
                                <w:right w:val="none" w:sz="0" w:space="0" w:color="auto"/>
                              </w:divBdr>
                              <w:divsChild>
                                <w:div w:id="939677596">
                                  <w:marLeft w:val="0"/>
                                  <w:marRight w:val="0"/>
                                  <w:marTop w:val="0"/>
                                  <w:marBottom w:val="0"/>
                                  <w:divBdr>
                                    <w:top w:val="none" w:sz="0" w:space="0" w:color="auto"/>
                                    <w:left w:val="none" w:sz="0" w:space="0" w:color="auto"/>
                                    <w:bottom w:val="none" w:sz="0" w:space="0" w:color="auto"/>
                                    <w:right w:val="none" w:sz="0" w:space="0" w:color="auto"/>
                                  </w:divBdr>
                                  <w:divsChild>
                                    <w:div w:id="665865828">
                                      <w:marLeft w:val="0"/>
                                      <w:marRight w:val="0"/>
                                      <w:marTop w:val="0"/>
                                      <w:marBottom w:val="0"/>
                                      <w:divBdr>
                                        <w:top w:val="none" w:sz="0" w:space="0" w:color="auto"/>
                                        <w:left w:val="none" w:sz="0" w:space="0" w:color="auto"/>
                                        <w:bottom w:val="none" w:sz="0" w:space="0" w:color="auto"/>
                                        <w:right w:val="none" w:sz="0" w:space="0" w:color="auto"/>
                                      </w:divBdr>
                                    </w:div>
                                    <w:div w:id="981302385">
                                      <w:marLeft w:val="0"/>
                                      <w:marRight w:val="0"/>
                                      <w:marTop w:val="0"/>
                                      <w:marBottom w:val="0"/>
                                      <w:divBdr>
                                        <w:top w:val="none" w:sz="0" w:space="0" w:color="auto"/>
                                        <w:left w:val="none" w:sz="0" w:space="0" w:color="auto"/>
                                        <w:bottom w:val="none" w:sz="0" w:space="0" w:color="auto"/>
                                        <w:right w:val="none" w:sz="0" w:space="0" w:color="auto"/>
                                      </w:divBdr>
                                      <w:divsChild>
                                        <w:div w:id="1618557781">
                                          <w:marLeft w:val="165"/>
                                          <w:marRight w:val="165"/>
                                          <w:marTop w:val="0"/>
                                          <w:marBottom w:val="0"/>
                                          <w:divBdr>
                                            <w:top w:val="none" w:sz="0" w:space="0" w:color="auto"/>
                                            <w:left w:val="none" w:sz="0" w:space="0" w:color="auto"/>
                                            <w:bottom w:val="none" w:sz="0" w:space="0" w:color="auto"/>
                                            <w:right w:val="none" w:sz="0" w:space="0" w:color="auto"/>
                                          </w:divBdr>
                                          <w:divsChild>
                                            <w:div w:id="160311975">
                                              <w:marLeft w:val="0"/>
                                              <w:marRight w:val="0"/>
                                              <w:marTop w:val="0"/>
                                              <w:marBottom w:val="0"/>
                                              <w:divBdr>
                                                <w:top w:val="none" w:sz="0" w:space="0" w:color="auto"/>
                                                <w:left w:val="none" w:sz="0" w:space="0" w:color="auto"/>
                                                <w:bottom w:val="none" w:sz="0" w:space="0" w:color="auto"/>
                                                <w:right w:val="none" w:sz="0" w:space="0" w:color="auto"/>
                                              </w:divBdr>
                                              <w:divsChild>
                                                <w:div w:id="16242659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680035">
      <w:bodyDiv w:val="1"/>
      <w:marLeft w:val="0"/>
      <w:marRight w:val="0"/>
      <w:marTop w:val="0"/>
      <w:marBottom w:val="0"/>
      <w:divBdr>
        <w:top w:val="none" w:sz="0" w:space="0" w:color="auto"/>
        <w:left w:val="none" w:sz="0" w:space="0" w:color="auto"/>
        <w:bottom w:val="none" w:sz="0" w:space="0" w:color="auto"/>
        <w:right w:val="none" w:sz="0" w:space="0" w:color="auto"/>
      </w:divBdr>
    </w:div>
    <w:div w:id="1199900241">
      <w:bodyDiv w:val="1"/>
      <w:marLeft w:val="0"/>
      <w:marRight w:val="0"/>
      <w:marTop w:val="0"/>
      <w:marBottom w:val="0"/>
      <w:divBdr>
        <w:top w:val="none" w:sz="0" w:space="0" w:color="auto"/>
        <w:left w:val="none" w:sz="0" w:space="0" w:color="auto"/>
        <w:bottom w:val="none" w:sz="0" w:space="0" w:color="auto"/>
        <w:right w:val="none" w:sz="0" w:space="0" w:color="auto"/>
      </w:divBdr>
    </w:div>
    <w:div w:id="1352025921">
      <w:bodyDiv w:val="1"/>
      <w:marLeft w:val="0"/>
      <w:marRight w:val="0"/>
      <w:marTop w:val="0"/>
      <w:marBottom w:val="0"/>
      <w:divBdr>
        <w:top w:val="none" w:sz="0" w:space="0" w:color="auto"/>
        <w:left w:val="none" w:sz="0" w:space="0" w:color="auto"/>
        <w:bottom w:val="none" w:sz="0" w:space="0" w:color="auto"/>
        <w:right w:val="none" w:sz="0" w:space="0" w:color="auto"/>
      </w:divBdr>
    </w:div>
    <w:div w:id="1525290496">
      <w:bodyDiv w:val="1"/>
      <w:marLeft w:val="0"/>
      <w:marRight w:val="0"/>
      <w:marTop w:val="0"/>
      <w:marBottom w:val="0"/>
      <w:divBdr>
        <w:top w:val="none" w:sz="0" w:space="0" w:color="auto"/>
        <w:left w:val="none" w:sz="0" w:space="0" w:color="auto"/>
        <w:bottom w:val="none" w:sz="0" w:space="0" w:color="auto"/>
        <w:right w:val="none" w:sz="0" w:space="0" w:color="auto"/>
      </w:divBdr>
      <w:divsChild>
        <w:div w:id="633944269">
          <w:marLeft w:val="0"/>
          <w:marRight w:val="0"/>
          <w:marTop w:val="100"/>
          <w:marBottom w:val="0"/>
          <w:divBdr>
            <w:top w:val="none" w:sz="0" w:space="0" w:color="auto"/>
            <w:left w:val="none" w:sz="0" w:space="0" w:color="auto"/>
            <w:bottom w:val="none" w:sz="0" w:space="0" w:color="auto"/>
            <w:right w:val="none" w:sz="0" w:space="0" w:color="auto"/>
          </w:divBdr>
          <w:divsChild>
            <w:div w:id="44261587">
              <w:marLeft w:val="0"/>
              <w:marRight w:val="0"/>
              <w:marTop w:val="60"/>
              <w:marBottom w:val="0"/>
              <w:divBdr>
                <w:top w:val="none" w:sz="0" w:space="0" w:color="auto"/>
                <w:left w:val="none" w:sz="0" w:space="0" w:color="auto"/>
                <w:bottom w:val="none" w:sz="0" w:space="0" w:color="auto"/>
                <w:right w:val="none" w:sz="0" w:space="0" w:color="auto"/>
              </w:divBdr>
            </w:div>
          </w:divsChild>
        </w:div>
        <w:div w:id="2081445616">
          <w:marLeft w:val="0"/>
          <w:marRight w:val="0"/>
          <w:marTop w:val="0"/>
          <w:marBottom w:val="0"/>
          <w:divBdr>
            <w:top w:val="none" w:sz="0" w:space="0" w:color="auto"/>
            <w:left w:val="none" w:sz="0" w:space="0" w:color="auto"/>
            <w:bottom w:val="none" w:sz="0" w:space="0" w:color="auto"/>
            <w:right w:val="none" w:sz="0" w:space="0" w:color="auto"/>
          </w:divBdr>
          <w:divsChild>
            <w:div w:id="1028792692">
              <w:marLeft w:val="0"/>
              <w:marRight w:val="0"/>
              <w:marTop w:val="0"/>
              <w:marBottom w:val="0"/>
              <w:divBdr>
                <w:top w:val="none" w:sz="0" w:space="0" w:color="auto"/>
                <w:left w:val="none" w:sz="0" w:space="0" w:color="auto"/>
                <w:bottom w:val="none" w:sz="0" w:space="0" w:color="auto"/>
                <w:right w:val="none" w:sz="0" w:space="0" w:color="auto"/>
              </w:divBdr>
              <w:divsChild>
                <w:div w:id="7021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0623">
      <w:bodyDiv w:val="1"/>
      <w:marLeft w:val="0"/>
      <w:marRight w:val="0"/>
      <w:marTop w:val="0"/>
      <w:marBottom w:val="0"/>
      <w:divBdr>
        <w:top w:val="none" w:sz="0" w:space="0" w:color="auto"/>
        <w:left w:val="none" w:sz="0" w:space="0" w:color="auto"/>
        <w:bottom w:val="none" w:sz="0" w:space="0" w:color="auto"/>
        <w:right w:val="none" w:sz="0" w:space="0" w:color="auto"/>
      </w:divBdr>
    </w:div>
    <w:div w:id="19010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5.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Lukas.Brath\AppData\Local\Microsoft\Windows\INetCache\Content.Outlook\7HNYJN5E\BRF%20Q1%202022%20(0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ushwake1-my.sharepoint.com/personal/lukas_brath_cushwake_com/Documents/Desktop/BRF%20Q1%202022/BRF%20Q1%202022_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ushwake1-my.sharepoint.com/personal/lukas_brath_cushwake_com/Documents/Desktop/BRF%20Q1%202022/BRF%20Q1%202022_Fin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ushwake1-my.sharepoint.com/personal/lukas_brath_cushwake_com/Documents/Desktop/BRF%20Q1%202022/BRF%20Q1%202022_Fin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cushwake1-my.sharepoint.com/personal/lukas_brath_cushwake_com/Documents/Desktop/BRF%20Q1%202022/BRF%20Q1%202022_Final.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[BRF Q1 2022 (002).xlsx]Grafy!PivotTable2</c:name>
    <c:fmtId val="-1"/>
  </c:pivotSource>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mn-lt"/>
                <a:ea typeface="+mn-ea"/>
                <a:cs typeface="+mn-cs"/>
              </a:defRPr>
            </a:pPr>
            <a:r>
              <a:rPr lang="en-US" sz="1400" b="0" i="0" baseline="0">
                <a:solidFill>
                  <a:sysClr val="windowText" lastClr="000000"/>
                </a:solidFill>
                <a:effectLst/>
              </a:rPr>
              <a:t>Office stock according to BRF sub-markets</a:t>
            </a:r>
          </a:p>
        </c:rich>
      </c:tx>
      <c:layout>
        <c:manualLayout>
          <c:xMode val="edge"/>
          <c:yMode val="edge"/>
          <c:x val="0.14968474620477293"/>
          <c:y val="2.1592401723583364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ysClr val="windowText" lastClr="000000"/>
              </a:solidFill>
              <a:latin typeface="+mn-lt"/>
              <a:ea typeface="+mn-ea"/>
              <a:cs typeface="+mn-cs"/>
            </a:defRPr>
          </a:pPr>
          <a:endParaRPr lang="sk-SK"/>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pivotFmt>
      <c:pivotFmt>
        <c:idx val="29"/>
        <c:spPr>
          <a:solidFill>
            <a:schemeClr val="accent1"/>
          </a:solidFill>
          <a:ln w="19050">
            <a:solidFill>
              <a:schemeClr val="lt1"/>
            </a:solidFill>
          </a:ln>
          <a:effectLst/>
        </c:spPr>
      </c:pivotFmt>
    </c:pivotFmts>
    <c:plotArea>
      <c:layout/>
      <c:pieChart>
        <c:varyColors val="1"/>
        <c:ser>
          <c:idx val="0"/>
          <c:order val="0"/>
          <c:tx>
            <c:strRef>
              <c:f>Grafy!$K$4</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43-4DF4-BE3C-992FACF5A18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F43-4DF4-BE3C-992FACF5A18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F43-4DF4-BE3C-992FACF5A18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F43-4DF4-BE3C-992FACF5A18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F43-4DF4-BE3C-992FACF5A18E}"/>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sk-SK"/>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Grafy!$J$5:$J$10</c:f>
              <c:strCache>
                <c:ptCount val="5"/>
                <c:pt idx="0">
                  <c:v>CBD</c:v>
                </c:pt>
                <c:pt idx="1">
                  <c:v>CC</c:v>
                </c:pt>
                <c:pt idx="2">
                  <c:v>OC</c:v>
                </c:pt>
                <c:pt idx="3">
                  <c:v>IC</c:v>
                </c:pt>
                <c:pt idx="4">
                  <c:v>SB</c:v>
                </c:pt>
              </c:strCache>
            </c:strRef>
          </c:cat>
          <c:val>
            <c:numRef>
              <c:f>Grafy!$K$5:$K$10</c:f>
              <c:numCache>
                <c:formatCode>#,##0</c:formatCode>
                <c:ptCount val="5"/>
                <c:pt idx="0">
                  <c:v>620553</c:v>
                </c:pt>
                <c:pt idx="1">
                  <c:v>493691.06</c:v>
                </c:pt>
                <c:pt idx="2">
                  <c:v>415640</c:v>
                </c:pt>
                <c:pt idx="3">
                  <c:v>301930.32999999996</c:v>
                </c:pt>
                <c:pt idx="4">
                  <c:v>162394</c:v>
                </c:pt>
              </c:numCache>
            </c:numRef>
          </c:val>
          <c:extLst>
            <c:ext xmlns:c16="http://schemas.microsoft.com/office/drawing/2014/chart" uri="{C3380CC4-5D6E-409C-BE32-E72D297353CC}">
              <c16:uniqueId val="{0000000A-1F43-4DF4-BE3C-992FACF5A18E}"/>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sk-SK"/>
    </a:p>
  </c:txPr>
  <c:externalData r:id="rId3">
    <c:autoUpdate val="0"/>
  </c:externalData>
  <c:extLst>
    <c:ext xmlns:c14="http://schemas.microsoft.com/office/drawing/2007/8/2/chart" uri="{781A3756-C4B2-4CAC-9D66-4F8BD8637D16}">
      <c14:pivotOptions>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Office stock by ownership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04B-4D0A-9D18-B5AF85F6489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04B-4D0A-9D18-B5AF85F6489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04B-4D0A-9D18-B5AF85F64890}"/>
              </c:ext>
            </c:extLst>
          </c:dPt>
          <c:dLbls>
            <c:dLbl>
              <c:idx val="1"/>
              <c:layout>
                <c:manualLayout>
                  <c:x val="6.1459506899152305E-2"/>
                  <c:y val="6.704500792822580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04B-4D0A-9D18-B5AF85F6489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sk-SK"/>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Grafy!$A$72:$A$74</c:f>
              <c:strCache>
                <c:ptCount val="3"/>
                <c:pt idx="0">
                  <c:v>buildings for commercial use</c:v>
                </c:pt>
                <c:pt idx="1">
                  <c:v>governmnet buildings</c:v>
                </c:pt>
                <c:pt idx="2">
                  <c:v>owner-occupied buildings</c:v>
                </c:pt>
              </c:strCache>
            </c:strRef>
          </c:cat>
          <c:val>
            <c:numRef>
              <c:f>Grafy!$B$72:$B$74</c:f>
              <c:numCache>
                <c:formatCode>#,##0</c:formatCode>
                <c:ptCount val="3"/>
                <c:pt idx="0">
                  <c:v>1683363</c:v>
                </c:pt>
                <c:pt idx="1">
                  <c:v>76507</c:v>
                </c:pt>
                <c:pt idx="2">
                  <c:v>245498</c:v>
                </c:pt>
              </c:numCache>
            </c:numRef>
          </c:val>
          <c:extLst>
            <c:ext xmlns:c16="http://schemas.microsoft.com/office/drawing/2014/chart" uri="{C3380CC4-5D6E-409C-BE32-E72D297353CC}">
              <c16:uniqueId val="{00000006-404B-4D0A-9D18-B5AF85F6489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sk-SK" sz="1440" b="0" i="0" u="none" strike="noStrike" baseline="0">
                <a:effectLst/>
              </a:rPr>
              <a:t>Take-up by transaction type (total sq m / share on total take-up</a:t>
            </a:r>
            <a:endParaRPr lang="sk-SK"/>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Grafy!$K$50</c:f>
              <c:strCache>
                <c:ptCount val="1"/>
                <c:pt idx="0">
                  <c:v>veľkost transakcie v m2</c:v>
                </c:pt>
              </c:strCache>
            </c:strRef>
          </c:tx>
          <c:spPr>
            <a:solidFill>
              <a:schemeClr val="accent1"/>
            </a:solidFill>
            <a:ln>
              <a:noFill/>
            </a:ln>
            <a:effectLst/>
          </c:spPr>
          <c:invertIfNegative val="0"/>
          <c:dLbls>
            <c:dLbl>
              <c:idx val="0"/>
              <c:tx>
                <c:rich>
                  <a:bodyPr/>
                  <a:lstStyle/>
                  <a:p>
                    <a:fld id="{975DD5FB-C9B3-4F1C-A95E-9E4FB1954F6D}" type="CELLRANGE">
                      <a:rPr lang="en-US" baseline="0"/>
                      <a:pPr/>
                      <a:t>[CELLRANGE]</a:t>
                    </a:fld>
                    <a:r>
                      <a:rPr lang="en-US" baseline="0"/>
                      <a:t>, </a:t>
                    </a:r>
                    <a:fld id="{5940DA87-32AD-44B5-B02C-8032F4CA5939}"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0249-4C41-AE70-161CA73512D0}"/>
                </c:ext>
              </c:extLst>
            </c:dLbl>
            <c:dLbl>
              <c:idx val="1"/>
              <c:tx>
                <c:rich>
                  <a:bodyPr/>
                  <a:lstStyle/>
                  <a:p>
                    <a:fld id="{791F1240-1A57-4C1E-A3AC-F049807E9A4D}" type="CELLRANGE">
                      <a:rPr lang="en-US"/>
                      <a:pPr/>
                      <a:t>[CELLRANGE]</a:t>
                    </a:fld>
                    <a:r>
                      <a:rPr lang="en-US" baseline="0"/>
                      <a:t>, </a:t>
                    </a:r>
                    <a:fld id="{0629FCF1-6C28-4B93-BB43-4796225FD864}"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0249-4C41-AE70-161CA73512D0}"/>
                </c:ext>
              </c:extLst>
            </c:dLbl>
            <c:dLbl>
              <c:idx val="2"/>
              <c:tx>
                <c:rich>
                  <a:bodyPr/>
                  <a:lstStyle/>
                  <a:p>
                    <a:fld id="{E924A47E-B03B-47E7-A939-69F93BB113F4}" type="CELLRANGE">
                      <a:rPr lang="en-US" baseline="0"/>
                      <a:pPr/>
                      <a:t>[CELLRANGE]</a:t>
                    </a:fld>
                    <a:r>
                      <a:rPr lang="en-US" baseline="0"/>
                      <a:t>; </a:t>
                    </a:r>
                    <a:fld id="{F26FEAC4-6509-4045-998C-499A2F8D982B}"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0249-4C41-AE70-161CA73512D0}"/>
                </c:ext>
              </c:extLst>
            </c:dLbl>
            <c:dLbl>
              <c:idx val="3"/>
              <c:tx>
                <c:rich>
                  <a:bodyPr/>
                  <a:lstStyle/>
                  <a:p>
                    <a:fld id="{814D591C-02A6-4C0F-A496-918053E08D84}" type="CELLRANGE">
                      <a:rPr lang="en-US"/>
                      <a:pPr/>
                      <a:t>[CELLRANGE]</a:t>
                    </a:fld>
                    <a:r>
                      <a:rPr lang="en-US" baseline="0"/>
                      <a:t>, </a:t>
                    </a:r>
                    <a:fld id="{4C21AB20-665E-4055-B476-DD09765E42C2}"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0249-4C41-AE70-161CA73512D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Grafy!$J$51:$J$54</c:f>
              <c:strCache>
                <c:ptCount val="4"/>
                <c:pt idx="0">
                  <c:v>new lease</c:v>
                </c:pt>
                <c:pt idx="1">
                  <c:v>renegotiation</c:v>
                </c:pt>
                <c:pt idx="2">
                  <c:v>lease-expansion</c:v>
                </c:pt>
                <c:pt idx="3">
                  <c:v>pre-lease</c:v>
                </c:pt>
              </c:strCache>
            </c:strRef>
          </c:cat>
          <c:val>
            <c:numRef>
              <c:f>Grafy!$K$51:$K$54</c:f>
              <c:numCache>
                <c:formatCode>#,##0</c:formatCode>
                <c:ptCount val="4"/>
                <c:pt idx="0">
                  <c:v>29864.629999999997</c:v>
                </c:pt>
                <c:pt idx="1">
                  <c:v>7257</c:v>
                </c:pt>
                <c:pt idx="2">
                  <c:v>4701</c:v>
                </c:pt>
                <c:pt idx="3">
                  <c:v>1066</c:v>
                </c:pt>
              </c:numCache>
            </c:numRef>
          </c:val>
          <c:extLst>
            <c:ext xmlns:c15="http://schemas.microsoft.com/office/drawing/2012/chart" uri="{02D57815-91ED-43cb-92C2-25804820EDAC}">
              <c15:datalabelsRange>
                <c15:f>Grafy!$L$51:$L$54</c15:f>
                <c15:dlblRangeCache>
                  <c:ptCount val="4"/>
                  <c:pt idx="0">
                    <c:v>70%</c:v>
                  </c:pt>
                  <c:pt idx="1">
                    <c:v>17%</c:v>
                  </c:pt>
                  <c:pt idx="2">
                    <c:v>11%</c:v>
                  </c:pt>
                  <c:pt idx="3">
                    <c:v>2%</c:v>
                  </c:pt>
                </c15:dlblRangeCache>
              </c15:datalabelsRange>
            </c:ext>
            <c:ext xmlns:c16="http://schemas.microsoft.com/office/drawing/2014/chart" uri="{C3380CC4-5D6E-409C-BE32-E72D297353CC}">
              <c16:uniqueId val="{00000004-0249-4C41-AE70-161CA73512D0}"/>
            </c:ext>
          </c:extLst>
        </c:ser>
        <c:dLbls>
          <c:showLegendKey val="0"/>
          <c:showVal val="1"/>
          <c:showCatName val="0"/>
          <c:showSerName val="0"/>
          <c:showPercent val="0"/>
          <c:showBubbleSize val="0"/>
        </c:dLbls>
        <c:gapWidth val="150"/>
        <c:axId val="531222256"/>
        <c:axId val="531221928"/>
      </c:barChart>
      <c:lineChart>
        <c:grouping val="standard"/>
        <c:varyColors val="0"/>
        <c:ser>
          <c:idx val="1"/>
          <c:order val="1"/>
          <c:tx>
            <c:strRef>
              <c:f>Grafy!$L$50</c:f>
              <c:strCache>
                <c:ptCount val="1"/>
                <c:pt idx="0">
                  <c:v>percentuálne rozdelenie typov transakcií</c:v>
                </c:pt>
              </c:strCache>
            </c:strRef>
          </c:tx>
          <c:spPr>
            <a:ln w="28575" cap="rnd">
              <a:noFill/>
              <a:round/>
            </a:ln>
            <a:effectLst/>
          </c:spPr>
          <c:marker>
            <c:symbol val="none"/>
          </c:marker>
          <c:dLbls>
            <c:delete val="1"/>
          </c:dLbls>
          <c:cat>
            <c:strRef>
              <c:f>Grafy!$J$51:$J$54</c:f>
              <c:strCache>
                <c:ptCount val="4"/>
                <c:pt idx="0">
                  <c:v>new lease</c:v>
                </c:pt>
                <c:pt idx="1">
                  <c:v>renegotiation</c:v>
                </c:pt>
                <c:pt idx="2">
                  <c:v>lease-expansion</c:v>
                </c:pt>
                <c:pt idx="3">
                  <c:v>pre-lease</c:v>
                </c:pt>
              </c:strCache>
            </c:strRef>
          </c:cat>
          <c:val>
            <c:numRef>
              <c:f>Grafy!$L$51:$L$54</c:f>
              <c:numCache>
                <c:formatCode>0%</c:formatCode>
                <c:ptCount val="4"/>
                <c:pt idx="0">
                  <c:v>0.6963297731823096</c:v>
                </c:pt>
                <c:pt idx="1">
                  <c:v>0.16920568458353649</c:v>
                </c:pt>
                <c:pt idx="2">
                  <c:v>0.10960946992244798</c:v>
                </c:pt>
                <c:pt idx="3">
                  <c:v>2.4855072311705924E-2</c:v>
                </c:pt>
              </c:numCache>
            </c:numRef>
          </c:val>
          <c:smooth val="0"/>
          <c:extLst>
            <c:ext xmlns:c16="http://schemas.microsoft.com/office/drawing/2014/chart" uri="{C3380CC4-5D6E-409C-BE32-E72D297353CC}">
              <c16:uniqueId val="{00000005-0249-4C41-AE70-161CA73512D0}"/>
            </c:ext>
          </c:extLst>
        </c:ser>
        <c:ser>
          <c:idx val="2"/>
          <c:order val="2"/>
          <c:tx>
            <c:strRef>
              <c:f>Grafy!$M$50</c:f>
              <c:strCache>
                <c:ptCount val="1"/>
                <c:pt idx="0">
                  <c:v>Column2</c:v>
                </c:pt>
              </c:strCache>
            </c:strRef>
          </c:tx>
          <c:spPr>
            <a:ln w="25400" cap="rnd">
              <a:noFill/>
              <a:round/>
            </a:ln>
            <a:effectLst/>
          </c:spPr>
          <c:marker>
            <c:symbol val="none"/>
          </c:marker>
          <c:dLbls>
            <c:delete val="1"/>
          </c:dLbls>
          <c:cat>
            <c:strRef>
              <c:f>Grafy!$J$51:$J$54</c:f>
              <c:strCache>
                <c:ptCount val="4"/>
                <c:pt idx="0">
                  <c:v>new lease</c:v>
                </c:pt>
                <c:pt idx="1">
                  <c:v>renegotiation</c:v>
                </c:pt>
                <c:pt idx="2">
                  <c:v>lease-expansion</c:v>
                </c:pt>
                <c:pt idx="3">
                  <c:v>pre-lease</c:v>
                </c:pt>
              </c:strCache>
            </c:strRef>
          </c:cat>
          <c:val>
            <c:numRef>
              <c:f>Grafy!$M$51:$M$54</c:f>
              <c:numCache>
                <c:formatCode>General</c:formatCode>
                <c:ptCount val="4"/>
                <c:pt idx="0" formatCode="@">
                  <c:v>0</c:v>
                </c:pt>
              </c:numCache>
            </c:numRef>
          </c:val>
          <c:smooth val="0"/>
          <c:extLst>
            <c:ext xmlns:c16="http://schemas.microsoft.com/office/drawing/2014/chart" uri="{C3380CC4-5D6E-409C-BE32-E72D297353CC}">
              <c16:uniqueId val="{00000006-0249-4C41-AE70-161CA73512D0}"/>
            </c:ext>
          </c:extLst>
        </c:ser>
        <c:dLbls>
          <c:showLegendKey val="0"/>
          <c:showVal val="1"/>
          <c:showCatName val="0"/>
          <c:showSerName val="0"/>
          <c:showPercent val="0"/>
          <c:showBubbleSize val="0"/>
        </c:dLbls>
        <c:marker val="1"/>
        <c:smooth val="0"/>
        <c:axId val="707966584"/>
        <c:axId val="707968552"/>
      </c:lineChart>
      <c:catAx>
        <c:axId val="53122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crossAx val="531221928"/>
        <c:crosses val="autoZero"/>
        <c:auto val="1"/>
        <c:lblAlgn val="ctr"/>
        <c:lblOffset val="100"/>
        <c:noMultiLvlLbl val="0"/>
      </c:catAx>
      <c:valAx>
        <c:axId val="531221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sk-SK"/>
                  <a:t>m</a:t>
                </a:r>
                <a:r>
                  <a:rPr lang="sk-SK" baseline="30000"/>
                  <a:t>2</a:t>
                </a:r>
                <a:endParaRPr lang="sk-SK"/>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crossAx val="531222256"/>
        <c:crosses val="autoZero"/>
        <c:crossBetween val="between"/>
      </c:valAx>
      <c:valAx>
        <c:axId val="70796855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crossAx val="707966584"/>
        <c:crosses val="max"/>
        <c:crossBetween val="between"/>
      </c:valAx>
      <c:catAx>
        <c:axId val="707966584"/>
        <c:scaling>
          <c:orientation val="minMax"/>
        </c:scaling>
        <c:delete val="1"/>
        <c:axPos val="b"/>
        <c:numFmt formatCode="General" sourceLinked="1"/>
        <c:majorTickMark val="out"/>
        <c:minorTickMark val="none"/>
        <c:tickLblPos val="nextTo"/>
        <c:crossAx val="707968552"/>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[BRF Q1 2022_Final.xlsx]Grafy!PivotTable4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t>Office take-up by tenant sector (share of</a:t>
            </a:r>
            <a:r>
              <a:rPr lang="en-US" sz="1400" baseline="0"/>
              <a:t> the</a:t>
            </a:r>
            <a:r>
              <a:rPr lang="en-US" sz="1400"/>
              <a:t> total leased space)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ivotFmts>
      <c:pivotFmt>
        <c:idx val="0"/>
        <c:spPr>
          <a:solidFill>
            <a:schemeClr val="accent1"/>
          </a:solidFill>
          <a:ln>
            <a:noFill/>
          </a:ln>
          <a:effectLst/>
        </c:spPr>
        <c:marker>
          <c:symbol val="none"/>
        </c:marker>
        <c:dLbl>
          <c:idx val="0"/>
          <c:numFmt formatCode="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pivotFmt>
      <c:pivotFmt>
        <c:idx val="2"/>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sk-SK"/>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Grafy!$T$7</c:f>
              <c:strCache>
                <c:ptCount val="1"/>
                <c:pt idx="0">
                  <c:v>Total</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Grafy!$S$8:$S$18</c:f>
              <c:strCache>
                <c:ptCount val="10"/>
                <c:pt idx="0">
                  <c:v>Legal</c:v>
                </c:pt>
                <c:pt idx="1">
                  <c:v>Advertising/Media</c:v>
                </c:pt>
                <c:pt idx="2">
                  <c:v>Manufacturing/
Construction</c:v>
                </c:pt>
                <c:pt idx="3">
                  <c:v>Consumer Goods</c:v>
                </c:pt>
                <c:pt idx="4">
                  <c:v>Pharma/Medical</c:v>
                </c:pt>
                <c:pt idx="5">
                  <c:v>Other</c:v>
                </c:pt>
                <c:pt idx="6">
                  <c:v>Public/Embassy/Trade Council/Diplomatic </c:v>
                </c:pt>
                <c:pt idx="7">
                  <c:v>Prof. services</c:v>
                </c:pt>
                <c:pt idx="8">
                  <c:v>Finance/Banking/Insurance</c:v>
                </c:pt>
                <c:pt idx="9">
                  <c:v>IT</c:v>
                </c:pt>
              </c:strCache>
            </c:strRef>
          </c:cat>
          <c:val>
            <c:numRef>
              <c:f>Grafy!$T$8:$T$18</c:f>
              <c:numCache>
                <c:formatCode>0.00%</c:formatCode>
                <c:ptCount val="10"/>
                <c:pt idx="0">
                  <c:v>7.3611584235728691E-3</c:v>
                </c:pt>
                <c:pt idx="1">
                  <c:v>9.6995404143242637E-3</c:v>
                </c:pt>
                <c:pt idx="2">
                  <c:v>2.3572681151158244E-2</c:v>
                </c:pt>
                <c:pt idx="3">
                  <c:v>4.6469192417664076E-2</c:v>
                </c:pt>
                <c:pt idx="4">
                  <c:v>4.8614283086216563E-2</c:v>
                </c:pt>
                <c:pt idx="5">
                  <c:v>6.565842742004116E-2</c:v>
                </c:pt>
                <c:pt idx="6">
                  <c:v>0.12649040083583926</c:v>
                </c:pt>
                <c:pt idx="7">
                  <c:v>0.19531796655663752</c:v>
                </c:pt>
                <c:pt idx="8">
                  <c:v>0.21637436308877203</c:v>
                </c:pt>
                <c:pt idx="9">
                  <c:v>0.26044198660577411</c:v>
                </c:pt>
              </c:numCache>
            </c:numRef>
          </c:val>
          <c:extLst>
            <c:ext xmlns:c16="http://schemas.microsoft.com/office/drawing/2014/chart" uri="{C3380CC4-5D6E-409C-BE32-E72D297353CC}">
              <c16:uniqueId val="{00000000-EC48-4958-A4F1-F0DA7F4DC91F}"/>
            </c:ext>
          </c:extLst>
        </c:ser>
        <c:dLbls>
          <c:showLegendKey val="0"/>
          <c:showVal val="0"/>
          <c:showCatName val="0"/>
          <c:showSerName val="0"/>
          <c:showPercent val="0"/>
          <c:showBubbleSize val="0"/>
        </c:dLbls>
        <c:gapWidth val="30"/>
        <c:axId val="823238240"/>
        <c:axId val="823235944"/>
      </c:barChart>
      <c:catAx>
        <c:axId val="823238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crossAx val="823235944"/>
        <c:crosses val="autoZero"/>
        <c:auto val="1"/>
        <c:lblAlgn val="ctr"/>
        <c:lblOffset val="100"/>
        <c:noMultiLvlLbl val="0"/>
      </c:catAx>
      <c:valAx>
        <c:axId val="823235944"/>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23238240"/>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sk-SK"/>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Vacancy</a:t>
            </a:r>
            <a:r>
              <a:rPr lang="sk-SK" baseline="0"/>
              <a:t> rate</a:t>
            </a:r>
            <a:r>
              <a:rPr lang="en-GB" baseline="0"/>
              <a:t> </a:t>
            </a:r>
            <a:r>
              <a:rPr lang="sk-SK" baseline="0"/>
              <a:t>according to</a:t>
            </a:r>
            <a:r>
              <a:rPr lang="en-GB" baseline="0"/>
              <a:t> BRF submarkets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tx>
            <c:strRef>
              <c:f>Vysledky!$D$62</c:f>
              <c:strCache>
                <c:ptCount val="1"/>
                <c:pt idx="0">
                  <c:v>Sum of Vacancy rate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sk-S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Vysledky!$A$63:$A$67</c:f>
              <c:strCache>
                <c:ptCount val="5"/>
                <c:pt idx="0">
                  <c:v>SB</c:v>
                </c:pt>
                <c:pt idx="1">
                  <c:v>OC</c:v>
                </c:pt>
                <c:pt idx="2">
                  <c:v>CBD</c:v>
                </c:pt>
                <c:pt idx="3">
                  <c:v>IC</c:v>
                </c:pt>
                <c:pt idx="4">
                  <c:v>CC</c:v>
                </c:pt>
              </c:strCache>
            </c:strRef>
          </c:cat>
          <c:val>
            <c:numRef>
              <c:f>Vysledky!$D$63:$D$67</c:f>
              <c:numCache>
                <c:formatCode>0.00%</c:formatCode>
                <c:ptCount val="5"/>
                <c:pt idx="0">
                  <c:v>0.15906375851324556</c:v>
                </c:pt>
                <c:pt idx="1">
                  <c:v>0.14633093542488693</c:v>
                </c:pt>
                <c:pt idx="2">
                  <c:v>0.13859581695681111</c:v>
                </c:pt>
                <c:pt idx="3">
                  <c:v>9.5017306986134017E-2</c:v>
                </c:pt>
                <c:pt idx="4">
                  <c:v>7.0745255139924967E-2</c:v>
                </c:pt>
              </c:numCache>
            </c:numRef>
          </c:val>
          <c:extLst>
            <c:ext xmlns:c16="http://schemas.microsoft.com/office/drawing/2014/chart" uri="{C3380CC4-5D6E-409C-BE32-E72D297353CC}">
              <c16:uniqueId val="{00000000-7C97-46F4-A06F-0D35574F4643}"/>
            </c:ext>
          </c:extLst>
        </c:ser>
        <c:dLbls>
          <c:showLegendKey val="0"/>
          <c:showVal val="0"/>
          <c:showCatName val="0"/>
          <c:showSerName val="0"/>
          <c:showPercent val="0"/>
          <c:showBubbleSize val="0"/>
        </c:dLbls>
        <c:gapWidth val="80"/>
        <c:axId val="366359560"/>
        <c:axId val="366361856"/>
      </c:barChart>
      <c:catAx>
        <c:axId val="366359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66361856"/>
        <c:crosses val="autoZero"/>
        <c:auto val="1"/>
        <c:lblAlgn val="ctr"/>
        <c:lblOffset val="100"/>
        <c:noMultiLvlLbl val="0"/>
      </c:catAx>
      <c:valAx>
        <c:axId val="366361856"/>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66359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0A5DE-E0F1-4FFC-9B79-7EB7A711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879</Words>
  <Characters>5015</Characters>
  <Application>Microsoft Office Word</Application>
  <DocSecurity>0</DocSecurity>
  <Lines>41</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Q3 2019</vt:lpstr>
      <vt:lpstr>Q3 2019</vt:lpstr>
    </vt:vector>
  </TitlesOfParts>
  <Company>Colliers International, spol. s r.o.</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Q3 2019</dc:title>
  <dc:subject>Cushman&amp;Wakefield</dc:subject>
  <dc:creator>Bratislava Research Forum</dc:creator>
  <cp:lastModifiedBy>Lukas Brath/SVK</cp:lastModifiedBy>
  <cp:revision>99</cp:revision>
  <cp:lastPrinted>2012-05-03T15:42:00Z</cp:lastPrinted>
  <dcterms:created xsi:type="dcterms:W3CDTF">2022-01-26T12:18:00Z</dcterms:created>
  <dcterms:modified xsi:type="dcterms:W3CDTF">2022-04-28T07:05:00Z</dcterms:modified>
</cp:coreProperties>
</file>